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60" w:after="0" w:line="240"/>
        <w:ind w:right="390" w:left="394" w:firstLine="0"/>
        <w:jc w:val="center"/>
        <w:rPr>
          <w:rFonts w:ascii="Times New Roman" w:hAnsi="Times New Roman" w:cs="Times New Roman" w:eastAsia="Times New Roman"/>
          <w:b/>
          <w:color w:val="auto"/>
          <w:spacing w:val="0"/>
          <w:position w:val="0"/>
          <w:sz w:val="56"/>
          <w:shd w:fill="auto" w:val="clear"/>
        </w:rPr>
      </w:pPr>
      <w:r>
        <w:rPr>
          <w:rFonts w:ascii="Times New Roman" w:hAnsi="Times New Roman" w:cs="Times New Roman" w:eastAsia="Times New Roman"/>
          <w:b/>
          <w:color w:val="auto"/>
          <w:spacing w:val="0"/>
          <w:position w:val="0"/>
          <w:sz w:val="56"/>
          <w:shd w:fill="auto" w:val="clear"/>
        </w:rPr>
        <w:t xml:space="preserve">INSTRUCTOR SOLUTIONS MANUAL</w:t>
      </w:r>
    </w:p>
    <w:p>
      <w:pPr>
        <w:spacing w:before="10" w:after="0" w:line="240"/>
        <w:ind w:right="0" w:left="0" w:firstLine="0"/>
        <w:jc w:val="left"/>
        <w:rPr>
          <w:rFonts w:ascii="Times New Roman" w:hAnsi="Times New Roman" w:cs="Times New Roman" w:eastAsia="Times New Roman"/>
          <w:b/>
          <w:color w:val="auto"/>
          <w:spacing w:val="0"/>
          <w:position w:val="0"/>
          <w:sz w:val="49"/>
          <w:shd w:fill="auto" w:val="clear"/>
        </w:rPr>
      </w:pPr>
    </w:p>
    <w:p>
      <w:pPr>
        <w:spacing w:before="1" w:after="0" w:line="240"/>
        <w:ind w:right="390" w:left="449"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Clarence Byrd</w:t>
      </w:r>
    </w:p>
    <w:p>
      <w:pPr>
        <w:spacing w:before="0" w:after="0" w:line="240"/>
        <w:ind w:right="390" w:left="389" w:firstLine="0"/>
        <w:jc w:val="center"/>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Clarence Byrd Inc.</w:t>
      </w:r>
    </w:p>
    <w:p>
      <w:pPr>
        <w:spacing w:before="253" w:after="0" w:line="240"/>
        <w:ind w:right="390" w:left="390"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Ida Chen</w:t>
      </w:r>
    </w:p>
    <w:p>
      <w:pPr>
        <w:spacing w:before="0" w:after="0" w:line="240"/>
        <w:ind w:right="390" w:left="389" w:firstLine="0"/>
        <w:jc w:val="center"/>
        <w:rPr>
          <w:rFonts w:ascii="Times New Roman" w:hAnsi="Times New Roman" w:cs="Times New Roman" w:eastAsia="Times New Roman"/>
          <w:i/>
          <w:color w:val="auto"/>
          <w:spacing w:val="0"/>
          <w:position w:val="0"/>
          <w:sz w:val="28"/>
          <w:shd w:fill="auto" w:val="clear"/>
        </w:rPr>
      </w:pPr>
      <w:r>
        <w:rPr>
          <w:rFonts w:ascii="Times New Roman" w:hAnsi="Times New Roman" w:cs="Times New Roman" w:eastAsia="Times New Roman"/>
          <w:i/>
          <w:color w:val="auto"/>
          <w:spacing w:val="0"/>
          <w:position w:val="0"/>
          <w:sz w:val="28"/>
          <w:shd w:fill="auto" w:val="clear"/>
        </w:rPr>
        <w:t xml:space="preserve">Clarence Byrd Inc.</w:t>
      </w:r>
    </w:p>
    <w:p>
      <w:pPr>
        <w:spacing w:before="0" w:after="0" w:line="240"/>
        <w:ind w:right="0" w:left="0" w:firstLine="0"/>
        <w:jc w:val="left"/>
        <w:rPr>
          <w:rFonts w:ascii="Times New Roman" w:hAnsi="Times New Roman" w:cs="Times New Roman" w:eastAsia="Times New Roman"/>
          <w:i/>
          <w:color w:val="auto"/>
          <w:spacing w:val="0"/>
          <w:position w:val="0"/>
          <w:sz w:val="30"/>
          <w:shd w:fill="auto" w:val="clear"/>
        </w:rPr>
      </w:pPr>
    </w:p>
    <w:p>
      <w:pPr>
        <w:spacing w:before="184" w:after="0" w:line="240"/>
        <w:ind w:right="390" w:left="392" w:firstLine="0"/>
        <w:jc w:val="center"/>
        <w:rPr>
          <w:rFonts w:ascii="Times New Roman" w:hAnsi="Times New Roman" w:cs="Times New Roman" w:eastAsia="Times New Roman"/>
          <w:b/>
          <w:color w:val="auto"/>
          <w:spacing w:val="0"/>
          <w:position w:val="0"/>
          <w:sz w:val="52"/>
          <w:shd w:fill="auto" w:val="clear"/>
        </w:rPr>
      </w:pPr>
      <w:r>
        <w:rPr>
          <w:rFonts w:ascii="Times New Roman" w:hAnsi="Times New Roman" w:cs="Times New Roman" w:eastAsia="Times New Roman"/>
          <w:b/>
          <w:color w:val="auto"/>
          <w:spacing w:val="0"/>
          <w:position w:val="0"/>
          <w:sz w:val="52"/>
          <w:shd w:fill="auto" w:val="clear"/>
        </w:rPr>
        <w:t xml:space="preserve">Byrd &amp; Chen</w:t>
      </w:r>
      <w:r>
        <w:rPr>
          <w:rFonts w:ascii="Times New Roman" w:hAnsi="Times New Roman" w:cs="Times New Roman" w:eastAsia="Times New Roman"/>
          <w:b/>
          <w:color w:val="auto"/>
          <w:spacing w:val="0"/>
          <w:position w:val="0"/>
          <w:sz w:val="52"/>
          <w:shd w:fill="auto" w:val="clear"/>
        </w:rPr>
        <w:t xml:space="preserve">’</w:t>
      </w:r>
      <w:r>
        <w:rPr>
          <w:rFonts w:ascii="Times New Roman" w:hAnsi="Times New Roman" w:cs="Times New Roman" w:eastAsia="Times New Roman"/>
          <w:b/>
          <w:color w:val="auto"/>
          <w:spacing w:val="0"/>
          <w:position w:val="0"/>
          <w:sz w:val="52"/>
          <w:shd w:fill="auto" w:val="clear"/>
        </w:rPr>
        <w:t xml:space="preserve">s Canadian Tax Principles</w:t>
      </w:r>
    </w:p>
    <w:p>
      <w:pPr>
        <w:spacing w:before="0" w:after="0" w:line="460"/>
        <w:ind w:right="390" w:left="392" w:firstLine="0"/>
        <w:jc w:val="center"/>
        <w:rPr>
          <w:rFonts w:ascii="Times New Roman" w:hAnsi="Times New Roman" w:cs="Times New Roman" w:eastAsia="Times New Roman"/>
          <w:b/>
          <w:color w:val="auto"/>
          <w:spacing w:val="0"/>
          <w:position w:val="0"/>
          <w:sz w:val="40"/>
          <w:shd w:fill="auto" w:val="clear"/>
        </w:rPr>
      </w:pPr>
      <w:r>
        <w:rPr>
          <w:rFonts w:ascii="Times New Roman" w:hAnsi="Times New Roman" w:cs="Times New Roman" w:eastAsia="Times New Roman"/>
          <w:b/>
          <w:color w:val="auto"/>
          <w:spacing w:val="0"/>
          <w:position w:val="0"/>
          <w:sz w:val="40"/>
          <w:shd w:fill="auto" w:val="clear"/>
        </w:rPr>
        <w:t xml:space="preserve">2020-2021 </w:t>
      </w:r>
      <w:r>
        <w:rPr>
          <w:rFonts w:ascii="Times New Roman" w:hAnsi="Times New Roman" w:cs="Times New Roman" w:eastAsia="Times New Roman"/>
          <w:b/>
          <w:color w:val="auto"/>
          <w:spacing w:val="0"/>
          <w:position w:val="0"/>
          <w:sz w:val="40"/>
          <w:shd w:fill="auto" w:val="clear"/>
        </w:rPr>
        <w:t xml:space="preserve">Edition</w:t>
      </w:r>
    </w:p>
    <w:p>
      <w:pPr>
        <w:spacing w:before="0" w:after="0" w:line="240"/>
        <w:ind w:right="0" w:left="0" w:firstLine="0"/>
        <w:jc w:val="left"/>
        <w:rPr>
          <w:rFonts w:ascii="Times New Roman" w:hAnsi="Times New Roman" w:cs="Times New Roman" w:eastAsia="Times New Roman"/>
          <w:b/>
          <w:color w:val="auto"/>
          <w:spacing w:val="0"/>
          <w:position w:val="0"/>
          <w:sz w:val="54"/>
          <w:shd w:fill="auto" w:val="clear"/>
        </w:rPr>
      </w:pPr>
    </w:p>
    <w:p>
      <w:pPr>
        <w:spacing w:before="1" w:after="0" w:line="368"/>
        <w:ind w:right="390" w:left="471" w:firstLine="0"/>
        <w:jc w:val="center"/>
        <w:rPr>
          <w:rFonts w:ascii="Times New Roman" w:hAnsi="Times New Roman" w:cs="Times New Roman" w:eastAsia="Times New Roman"/>
          <w:b/>
          <w:color w:val="auto"/>
          <w:spacing w:val="0"/>
          <w:position w:val="0"/>
          <w:sz w:val="32"/>
          <w:shd w:fill="auto" w:val="clear"/>
        </w:rPr>
      </w:pPr>
      <w:r>
        <w:rPr>
          <w:rFonts w:ascii="Times New Roman" w:hAnsi="Times New Roman" w:cs="Times New Roman" w:eastAsia="Times New Roman"/>
          <w:b/>
          <w:color w:val="auto"/>
          <w:spacing w:val="0"/>
          <w:position w:val="0"/>
          <w:sz w:val="32"/>
          <w:shd w:fill="auto" w:val="clear"/>
        </w:rPr>
        <w:t xml:space="preserve">Clarence Byrd</w:t>
      </w:r>
    </w:p>
    <w:p>
      <w:pPr>
        <w:spacing w:before="0" w:after="0" w:line="368"/>
        <w:ind w:right="390" w:left="391" w:firstLine="0"/>
        <w:jc w:val="center"/>
        <w:rPr>
          <w:rFonts w:ascii="Times New Roman" w:hAnsi="Times New Roman" w:cs="Times New Roman" w:eastAsia="Times New Roman"/>
          <w:b/>
          <w:i/>
          <w:color w:val="auto"/>
          <w:spacing w:val="0"/>
          <w:position w:val="0"/>
          <w:sz w:val="32"/>
          <w:shd w:fill="auto" w:val="clear"/>
        </w:rPr>
      </w:pPr>
      <w:r>
        <w:rPr>
          <w:rFonts w:ascii="Times New Roman" w:hAnsi="Times New Roman" w:cs="Times New Roman" w:eastAsia="Times New Roman"/>
          <w:b/>
          <w:i/>
          <w:color w:val="auto"/>
          <w:spacing w:val="0"/>
          <w:position w:val="0"/>
          <w:sz w:val="32"/>
          <w:shd w:fill="auto" w:val="clear"/>
        </w:rPr>
        <w:t xml:space="preserve">Clarence Byrd Inc.</w:t>
      </w:r>
    </w:p>
    <w:p>
      <w:pPr>
        <w:spacing w:before="11" w:after="0" w:line="240"/>
        <w:ind w:right="0" w:left="0" w:firstLine="0"/>
        <w:jc w:val="left"/>
        <w:rPr>
          <w:rFonts w:ascii="Times New Roman" w:hAnsi="Times New Roman" w:cs="Times New Roman" w:eastAsia="Times New Roman"/>
          <w:b/>
          <w:i/>
          <w:color w:val="auto"/>
          <w:spacing w:val="0"/>
          <w:position w:val="0"/>
          <w:sz w:val="31"/>
          <w:shd w:fill="auto" w:val="clear"/>
        </w:rPr>
      </w:pPr>
    </w:p>
    <w:p>
      <w:pPr>
        <w:spacing w:before="0" w:after="0" w:line="240"/>
        <w:ind w:right="390" w:left="390" w:firstLine="0"/>
        <w:jc w:val="center"/>
        <w:rPr>
          <w:rFonts w:ascii="Times New Roman" w:hAnsi="Times New Roman" w:cs="Times New Roman" w:eastAsia="Times New Roman"/>
          <w:b/>
          <w:color w:val="auto"/>
          <w:spacing w:val="0"/>
          <w:position w:val="0"/>
          <w:sz w:val="32"/>
          <w:shd w:fill="auto" w:val="clear"/>
        </w:rPr>
      </w:pPr>
      <w:r>
        <w:rPr>
          <w:rFonts w:ascii="Times New Roman" w:hAnsi="Times New Roman" w:cs="Times New Roman" w:eastAsia="Times New Roman"/>
          <w:b/>
          <w:color w:val="auto"/>
          <w:spacing w:val="0"/>
          <w:position w:val="0"/>
          <w:sz w:val="32"/>
          <w:shd w:fill="auto" w:val="clear"/>
        </w:rPr>
        <w:t xml:space="preserve">Ida Chen</w:t>
      </w:r>
    </w:p>
    <w:p>
      <w:pPr>
        <w:spacing w:before="0" w:after="0" w:line="240"/>
        <w:ind w:right="390" w:left="391" w:firstLine="0"/>
        <w:jc w:val="center"/>
        <w:rPr>
          <w:rFonts w:ascii="Times New Roman" w:hAnsi="Times New Roman" w:cs="Times New Roman" w:eastAsia="Times New Roman"/>
          <w:b/>
          <w:i/>
          <w:color w:val="auto"/>
          <w:spacing w:val="0"/>
          <w:position w:val="0"/>
          <w:sz w:val="32"/>
          <w:shd w:fill="auto" w:val="clear"/>
        </w:rPr>
      </w:pPr>
      <w:r>
        <w:rPr>
          <w:rFonts w:ascii="Times New Roman" w:hAnsi="Times New Roman" w:cs="Times New Roman" w:eastAsia="Times New Roman"/>
          <w:b/>
          <w:i/>
          <w:color w:val="auto"/>
          <w:spacing w:val="0"/>
          <w:position w:val="0"/>
          <w:sz w:val="32"/>
          <w:shd w:fill="auto" w:val="clear"/>
        </w:rPr>
        <w:t xml:space="preserve">Clarence Byrd Inc.</w:t>
      </w:r>
    </w:p>
    <w:p>
      <w:pPr>
        <w:spacing w:before="0" w:after="0" w:line="240"/>
        <w:ind w:right="0" w:left="0" w:firstLine="0"/>
        <w:jc w:val="left"/>
        <w:rPr>
          <w:rFonts w:ascii="Times New Roman" w:hAnsi="Times New Roman" w:cs="Times New Roman" w:eastAsia="Times New Roman"/>
          <w:b/>
          <w:i/>
          <w:color w:val="auto"/>
          <w:spacing w:val="0"/>
          <w:position w:val="0"/>
          <w:sz w:val="20"/>
          <w:shd w:fill="auto" w:val="clear"/>
        </w:rPr>
      </w:pPr>
    </w:p>
    <w:p>
      <w:pPr>
        <w:spacing w:before="0" w:after="0" w:line="240"/>
        <w:ind w:right="0" w:left="0" w:firstLine="0"/>
        <w:jc w:val="left"/>
        <w:rPr>
          <w:rFonts w:ascii="Times New Roman" w:hAnsi="Times New Roman" w:cs="Times New Roman" w:eastAsia="Times New Roman"/>
          <w:b/>
          <w:i/>
          <w:color w:val="auto"/>
          <w:spacing w:val="0"/>
          <w:position w:val="0"/>
          <w:sz w:val="20"/>
          <w:shd w:fill="auto" w:val="clear"/>
        </w:rPr>
      </w:pPr>
    </w:p>
    <w:p>
      <w:pPr>
        <w:spacing w:before="8" w:after="0" w:line="240"/>
        <w:ind w:right="0" w:left="0" w:firstLine="0"/>
        <w:jc w:val="left"/>
        <w:rPr>
          <w:rFonts w:ascii="Times New Roman" w:hAnsi="Times New Roman" w:cs="Times New Roman" w:eastAsia="Times New Roman"/>
          <w:b/>
          <w:i/>
          <w:color w:val="auto"/>
          <w:spacing w:val="0"/>
          <w:position w:val="0"/>
          <w:sz w:val="28"/>
          <w:shd w:fill="auto" w:val="clear"/>
        </w:rPr>
      </w:pPr>
      <w:r>
        <w:object w:dxaOrig="2560" w:dyaOrig="773">
          <v:rect xmlns:o="urn:schemas-microsoft-com:office:office" xmlns:v="urn:schemas-microsoft-com:vml" id="rectole0000000000" style="width:128.000000pt;height:38.65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p>
    <w:p>
      <w:pPr>
        <w:spacing w:before="1" w:after="0" w:line="240"/>
        <w:ind w:right="0" w:left="0" w:firstLine="0"/>
        <w:jc w:val="left"/>
        <w:rPr>
          <w:rFonts w:ascii="Times New Roman" w:hAnsi="Times New Roman" w:cs="Times New Roman" w:eastAsia="Times New Roman"/>
          <w:b/>
          <w:i/>
          <w:color w:val="auto"/>
          <w:spacing w:val="0"/>
          <w:position w:val="0"/>
          <w:sz w:val="41"/>
          <w:shd w:fill="auto" w:val="clear"/>
        </w:rPr>
      </w:pPr>
    </w:p>
    <w:p>
      <w:pPr>
        <w:spacing w:before="1" w:after="0" w:line="240"/>
        <w:ind w:right="0" w:left="497" w:firstLine="0"/>
        <w:jc w:val="left"/>
        <w:rPr>
          <w:rFonts w:ascii="Cambria" w:hAnsi="Cambria" w:cs="Cambria" w:eastAsia="Cambria"/>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ISBN </w:t>
      </w:r>
      <w:r>
        <w:rPr>
          <w:rFonts w:ascii="Cambria" w:hAnsi="Cambria" w:cs="Cambria" w:eastAsia="Cambria"/>
          <w:color w:val="auto"/>
          <w:spacing w:val="0"/>
          <w:position w:val="0"/>
          <w:sz w:val="20"/>
          <w:shd w:fill="auto" w:val="clear"/>
        </w:rPr>
        <w:t xml:space="preserve">978-0-13-674504-4</w:t>
      </w:r>
    </w:p>
    <w:p>
      <w:pPr>
        <w:spacing w:before="6" w:after="0" w:line="240"/>
        <w:ind w:right="0" w:left="0" w:firstLine="0"/>
        <w:jc w:val="left"/>
        <w:rPr>
          <w:rFonts w:ascii="Cambria" w:hAnsi="Cambria" w:cs="Cambria" w:eastAsia="Cambria"/>
          <w:color w:val="auto"/>
          <w:spacing w:val="0"/>
          <w:position w:val="0"/>
          <w:sz w:val="23"/>
          <w:shd w:fill="auto" w:val="clear"/>
        </w:rPr>
      </w:pPr>
    </w:p>
    <w:p>
      <w:pPr>
        <w:spacing w:before="0" w:after="0" w:line="240"/>
        <w:ind w:right="548" w:left="497" w:firstLine="0"/>
        <w:jc w:val="left"/>
        <w:rPr>
          <w:rFonts w:ascii="Times New Roman" w:hAnsi="Times New Roman" w:cs="Times New Roman" w:eastAsia="Times New Roman"/>
          <w:color w:val="auto"/>
          <w:spacing w:val="0"/>
          <w:position w:val="0"/>
          <w:sz w:val="18"/>
          <w:shd w:fill="auto" w:val="clear"/>
        </w:rPr>
      </w:pPr>
      <w:r>
        <w:rPr>
          <w:rFonts w:ascii="Times New Roman" w:hAnsi="Times New Roman" w:cs="Times New Roman" w:eastAsia="Times New Roman"/>
          <w:color w:val="auto"/>
          <w:spacing w:val="0"/>
          <w:position w:val="0"/>
          <w:sz w:val="18"/>
          <w:shd w:fill="auto" w:val="clear"/>
        </w:rPr>
        <w:t xml:space="preserve">Copyright </w:t>
      </w:r>
      <w:r>
        <w:rPr>
          <w:rFonts w:ascii="Times New Roman" w:hAnsi="Times New Roman" w:cs="Times New Roman" w:eastAsia="Times New Roman"/>
          <w:color w:val="auto"/>
          <w:spacing w:val="0"/>
          <w:position w:val="0"/>
          <w:sz w:val="18"/>
          <w:shd w:fill="auto" w:val="clear"/>
        </w:rPr>
        <w:t xml:space="preserve">© </w:t>
      </w:r>
      <w:r>
        <w:rPr>
          <w:rFonts w:ascii="Times New Roman" w:hAnsi="Times New Roman" w:cs="Times New Roman" w:eastAsia="Times New Roman"/>
          <w:color w:val="auto"/>
          <w:spacing w:val="0"/>
          <w:position w:val="0"/>
          <w:sz w:val="18"/>
          <w:shd w:fill="auto" w:val="clear"/>
        </w:rPr>
        <w:t xml:space="preserve">2021 </w:t>
      </w:r>
      <w:r>
        <w:rPr>
          <w:rFonts w:ascii="Times New Roman" w:hAnsi="Times New Roman" w:cs="Times New Roman" w:eastAsia="Times New Roman"/>
          <w:color w:val="auto"/>
          <w:spacing w:val="0"/>
          <w:position w:val="0"/>
          <w:sz w:val="18"/>
          <w:shd w:fill="auto" w:val="clear"/>
        </w:rPr>
        <w:t xml:space="preserve">Pearson Canada Inc., Toronto, Ontario. All rights reserved. This work is protected by Canadian copyright laws and is provided solely for the use of instructors in teaching their courses and assessing student learning. Dissemination or sale of any part of this work (including on the internet) will destroy the integrity of the work and is not permitted. The copyright holder grants permission to instructors who have adopted </w:t>
      </w:r>
      <w:r>
        <w:rPr>
          <w:rFonts w:ascii="Times New Roman" w:hAnsi="Times New Roman" w:cs="Times New Roman" w:eastAsia="Times New Roman"/>
          <w:i/>
          <w:color w:val="auto"/>
          <w:spacing w:val="0"/>
          <w:position w:val="0"/>
          <w:sz w:val="18"/>
          <w:shd w:fill="auto" w:val="clear"/>
        </w:rPr>
        <w:t xml:space="preserve">Byrd &amp; Chen</w:t>
      </w:r>
      <w:r>
        <w:rPr>
          <w:rFonts w:ascii="Times New Roman" w:hAnsi="Times New Roman" w:cs="Times New Roman" w:eastAsia="Times New Roman"/>
          <w:i/>
          <w:color w:val="auto"/>
          <w:spacing w:val="0"/>
          <w:position w:val="0"/>
          <w:sz w:val="18"/>
          <w:shd w:fill="auto" w:val="clear"/>
        </w:rPr>
        <w:t xml:space="preserve">’</w:t>
      </w:r>
      <w:r>
        <w:rPr>
          <w:rFonts w:ascii="Times New Roman" w:hAnsi="Times New Roman" w:cs="Times New Roman" w:eastAsia="Times New Roman"/>
          <w:i/>
          <w:color w:val="auto"/>
          <w:spacing w:val="0"/>
          <w:position w:val="0"/>
          <w:sz w:val="18"/>
          <w:shd w:fill="auto" w:val="clear"/>
        </w:rPr>
        <w:t xml:space="preserve">s Canadian Tax Principles</w:t>
      </w:r>
      <w:r>
        <w:rPr>
          <w:rFonts w:ascii="Times New Roman" w:hAnsi="Times New Roman" w:cs="Times New Roman" w:eastAsia="Times New Roman"/>
          <w:color w:val="auto"/>
          <w:spacing w:val="0"/>
          <w:position w:val="0"/>
          <w:sz w:val="18"/>
          <w:shd w:fill="auto" w:val="clear"/>
        </w:rPr>
        <w:t xml:space="preserve">, by Byrd/Chen, to post this material online only if the use of the website is restricted by access codes to students in the instructor</w:t>
      </w:r>
      <w:r>
        <w:rPr>
          <w:rFonts w:ascii="Times New Roman" w:hAnsi="Times New Roman" w:cs="Times New Roman" w:eastAsia="Times New Roman"/>
          <w:color w:val="auto"/>
          <w:spacing w:val="0"/>
          <w:position w:val="0"/>
          <w:sz w:val="18"/>
          <w:shd w:fill="auto" w:val="clear"/>
        </w:rPr>
        <w:t xml:space="preserve">’</w:t>
      </w:r>
      <w:r>
        <w:rPr>
          <w:rFonts w:ascii="Times New Roman" w:hAnsi="Times New Roman" w:cs="Times New Roman" w:eastAsia="Times New Roman"/>
          <w:color w:val="auto"/>
          <w:spacing w:val="0"/>
          <w:position w:val="0"/>
          <w:sz w:val="18"/>
          <w:shd w:fill="auto" w:val="clear"/>
        </w:rPr>
        <w:t xml:space="preserve">s class that is using the textbook and provided the reproduced material bears this copyright notice.</w:t>
      </w:r>
    </w:p>
    <w:p>
      <w:pPr>
        <w:spacing w:before="0" w:after="0" w:line="240"/>
        <w:ind w:right="0" w:left="0" w:firstLine="0"/>
        <w:jc w:val="left"/>
        <w:rPr>
          <w:rFonts w:ascii="Times New Roman" w:hAnsi="Times New Roman" w:cs="Times New Roman" w:eastAsia="Times New Roman"/>
          <w:color w:val="auto"/>
          <w:spacing w:val="0"/>
          <w:position w:val="0"/>
          <w:sz w:val="18"/>
          <w:shd w:fill="auto" w:val="clear"/>
        </w:rPr>
      </w:pPr>
    </w:p>
    <w:p>
      <w:pPr>
        <w:spacing w:before="6" w:after="0" w:line="240"/>
        <w:ind w:right="0" w:left="0" w:firstLine="0"/>
        <w:jc w:val="left"/>
        <w:rPr>
          <w:rFonts w:ascii="Times New Roman" w:hAnsi="Times New Roman" w:cs="Times New Roman" w:eastAsia="Times New Roman"/>
          <w:color w:val="auto"/>
          <w:spacing w:val="0"/>
          <w:position w:val="0"/>
          <w:sz w:val="17"/>
          <w:shd w:fill="auto" w:val="clear"/>
        </w:rPr>
      </w:pPr>
    </w:p>
    <w:p>
      <w:pPr>
        <w:spacing w:before="101" w:after="0" w:line="240"/>
        <w:ind w:right="0" w:left="260" w:firstLine="0"/>
        <w:jc w:val="both"/>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CHAPTER ONE SOLUTIONS</w:t>
      </w:r>
    </w:p>
    <w:p>
      <w:pPr>
        <w:spacing w:before="293" w:after="0" w:line="240"/>
        <w:ind w:right="0" w:left="260" w:firstLine="0"/>
        <w:jc w:val="both"/>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1</w:t>
      </w:r>
    </w:p>
    <w:p>
      <w:pPr>
        <w:spacing w:before="72" w:after="0" w:line="259"/>
        <w:ind w:right="608" w:left="260"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There is, of course, no one solution to this problem. Further, student answers will be limited as, at this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point,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their</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understanding</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tax</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concepts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procedures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fairly</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limited.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However,</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problem should provide the basis of an interesting discussion. What we have provided here are some suggested comments related to the various qualitative</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characteristics.</w:t>
      </w:r>
    </w:p>
    <w:p>
      <w:pPr>
        <w:spacing w:before="2" w:after="0" w:line="240"/>
        <w:ind w:right="0" w:left="0" w:firstLine="0"/>
        <w:jc w:val="left"/>
        <w:rPr>
          <w:rFonts w:ascii="Arial" w:hAnsi="Arial" w:cs="Arial" w:eastAsia="Arial"/>
          <w:color w:val="auto"/>
          <w:spacing w:val="0"/>
          <w:position w:val="0"/>
          <w:sz w:val="23"/>
          <w:shd w:fill="auto" w:val="clear"/>
        </w:rPr>
      </w:pPr>
    </w:p>
    <w:p>
      <w:pPr>
        <w:spacing w:before="0"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Equity Or Fairness </w:t>
      </w:r>
      <w:r>
        <w:rPr>
          <w:rFonts w:ascii="Arial" w:hAnsi="Arial" w:cs="Arial" w:eastAsia="Arial"/>
          <w:color w:val="auto"/>
          <w:spacing w:val="0"/>
          <w:position w:val="0"/>
          <w:sz w:val="20"/>
          <w:shd w:fill="auto" w:val="clear"/>
        </w:rPr>
        <w:t xml:space="preserve">The increase provides both horizontal and vertical equity. Individuals with the same income will receive the same treatment, while individuals with different income will be treated differently.</w:t>
      </w:r>
    </w:p>
    <w:p>
      <w:pPr>
        <w:spacing w:before="1" w:after="0" w:line="240"/>
        <w:ind w:right="0" w:left="0" w:firstLine="0"/>
        <w:jc w:val="left"/>
        <w:rPr>
          <w:rFonts w:ascii="Arial" w:hAnsi="Arial" w:cs="Arial" w:eastAsia="Arial"/>
          <w:color w:val="auto"/>
          <w:spacing w:val="0"/>
          <w:position w:val="0"/>
          <w:sz w:val="21"/>
          <w:shd w:fill="auto" w:val="clear"/>
        </w:rPr>
      </w:pPr>
    </w:p>
    <w:p>
      <w:pPr>
        <w:spacing w:before="0" w:after="0" w:line="259"/>
        <w:ind w:right="576"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Neutrality </w:t>
      </w:r>
      <w:r>
        <w:rPr>
          <w:rFonts w:ascii="Arial" w:hAnsi="Arial" w:cs="Arial" w:eastAsia="Arial"/>
          <w:color w:val="auto"/>
          <w:spacing w:val="0"/>
          <w:position w:val="0"/>
          <w:sz w:val="20"/>
          <w:shd w:fill="auto" w:val="clear"/>
        </w:rPr>
        <w:t xml:space="preserve">The increase is not neutral. It targets high-income individuals and is likely to influence their economic decisions.</w:t>
      </w:r>
    </w:p>
    <w:p>
      <w:pPr>
        <w:spacing w:before="3" w:after="0" w:line="240"/>
        <w:ind w:right="0" w:left="0" w:firstLine="0"/>
        <w:jc w:val="left"/>
        <w:rPr>
          <w:rFonts w:ascii="Arial" w:hAnsi="Arial" w:cs="Arial" w:eastAsia="Arial"/>
          <w:color w:val="auto"/>
          <w:spacing w:val="0"/>
          <w:position w:val="0"/>
          <w:sz w:val="21"/>
          <w:shd w:fill="auto" w:val="clear"/>
        </w:rPr>
      </w:pPr>
    </w:p>
    <w:p>
      <w:pPr>
        <w:spacing w:before="1"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Adequacy </w:t>
      </w:r>
      <w:r>
        <w:rPr>
          <w:rFonts w:ascii="Arial" w:hAnsi="Arial" w:cs="Arial" w:eastAsia="Arial"/>
          <w:color w:val="auto"/>
          <w:spacing w:val="0"/>
          <w:position w:val="0"/>
          <w:sz w:val="20"/>
          <w:shd w:fill="auto" w:val="clear"/>
        </w:rPr>
        <w:t xml:space="preserve">While the increase was intended to create additional revenues, there is some evidence that the opposite has happened. This reflects the fact that individuals with high levels of income are sometimes</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position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move</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some,</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or</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all,</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income</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out</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(e.g.,</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move</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their</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residence to the</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U.S.).</w:t>
      </w:r>
    </w:p>
    <w:p>
      <w:pPr>
        <w:spacing w:before="11"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Elasticity </w:t>
      </w:r>
      <w:r>
        <w:rPr>
          <w:rFonts w:ascii="Arial" w:hAnsi="Arial" w:cs="Arial" w:eastAsia="Arial"/>
          <w:color w:val="auto"/>
          <w:spacing w:val="0"/>
          <w:position w:val="0"/>
          <w:sz w:val="20"/>
          <w:shd w:fill="auto" w:val="clear"/>
        </w:rPr>
        <w:t xml:space="preserve">This increase is unlikely to respond to changing economic or social conditions.</w:t>
      </w:r>
    </w:p>
    <w:p>
      <w:pPr>
        <w:spacing w:before="0" w:after="0" w:line="240"/>
        <w:ind w:right="0" w:left="0" w:firstLine="0"/>
        <w:jc w:val="left"/>
        <w:rPr>
          <w:rFonts w:ascii="Arial" w:hAnsi="Arial" w:cs="Arial" w:eastAsia="Arial"/>
          <w:color w:val="auto"/>
          <w:spacing w:val="0"/>
          <w:position w:val="0"/>
          <w:sz w:val="23"/>
          <w:shd w:fill="auto" w:val="clear"/>
        </w:rPr>
      </w:pPr>
    </w:p>
    <w:p>
      <w:pPr>
        <w:spacing w:before="0" w:after="0" w:line="259"/>
        <w:ind w:right="566"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Flexibility </w:t>
      </w:r>
      <w:r>
        <w:rPr>
          <w:rFonts w:ascii="Arial" w:hAnsi="Arial" w:cs="Arial" w:eastAsia="Arial"/>
          <w:color w:val="auto"/>
          <w:spacing w:val="0"/>
          <w:position w:val="0"/>
          <w:sz w:val="20"/>
          <w:shd w:fill="auto" w:val="clear"/>
        </w:rPr>
        <w:t xml:space="preserve">With respect to flexibility, the rate can be changed at any time. However, as a practical matter, such changes would need to be on an annual basis.</w:t>
      </w:r>
    </w:p>
    <w:p>
      <w:pPr>
        <w:spacing w:before="3" w:after="0" w:line="240"/>
        <w:ind w:right="0" w:left="0" w:firstLine="0"/>
        <w:jc w:val="left"/>
        <w:rPr>
          <w:rFonts w:ascii="Arial" w:hAnsi="Arial" w:cs="Arial" w:eastAsia="Arial"/>
          <w:color w:val="auto"/>
          <w:spacing w:val="0"/>
          <w:position w:val="0"/>
          <w:sz w:val="21"/>
          <w:shd w:fill="auto" w:val="clear"/>
        </w:rPr>
      </w:pPr>
    </w:p>
    <w:p>
      <w:pPr>
        <w:spacing w:before="0" w:after="0" w:line="259"/>
        <w:ind w:right="566"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Simplicity And Ease Of Compliance </w:t>
      </w:r>
      <w:r>
        <w:rPr>
          <w:rFonts w:ascii="Arial" w:hAnsi="Arial" w:cs="Arial" w:eastAsia="Arial"/>
          <w:color w:val="auto"/>
          <w:spacing w:val="0"/>
          <w:position w:val="0"/>
          <w:sz w:val="20"/>
          <w:shd w:fill="auto" w:val="clear"/>
        </w:rPr>
        <w:t xml:space="preserve">This change would not appear to present any compliance issues.</w:t>
      </w:r>
    </w:p>
    <w:p>
      <w:pPr>
        <w:spacing w:before="2" w:after="0" w:line="240"/>
        <w:ind w:right="0" w:left="0" w:firstLine="0"/>
        <w:jc w:val="left"/>
        <w:rPr>
          <w:rFonts w:ascii="Arial" w:hAnsi="Arial" w:cs="Arial" w:eastAsia="Arial"/>
          <w:color w:val="auto"/>
          <w:spacing w:val="0"/>
          <w:position w:val="0"/>
          <w:sz w:val="21"/>
          <w:shd w:fill="auto" w:val="clear"/>
        </w:rPr>
      </w:pPr>
    </w:p>
    <w:p>
      <w:pPr>
        <w:spacing w:before="0" w:after="0" w:line="259"/>
        <w:ind w:right="578"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Certainty </w:t>
      </w:r>
      <w:r>
        <w:rPr>
          <w:rFonts w:ascii="Arial" w:hAnsi="Arial" w:cs="Arial" w:eastAsia="Arial"/>
          <w:color w:val="auto"/>
          <w:spacing w:val="0"/>
          <w:position w:val="0"/>
          <w:sz w:val="20"/>
          <w:shd w:fill="auto" w:val="clear"/>
        </w:rPr>
        <w:t xml:space="preserve">The increase makes it clear to individual taxpayers the amount of taxes that they will be required to pay.</w:t>
      </w:r>
    </w:p>
    <w:p>
      <w:pPr>
        <w:spacing w:before="4" w:after="0" w:line="240"/>
        <w:ind w:right="0" w:left="0" w:firstLine="0"/>
        <w:jc w:val="left"/>
        <w:rPr>
          <w:rFonts w:ascii="Arial" w:hAnsi="Arial" w:cs="Arial" w:eastAsia="Arial"/>
          <w:color w:val="auto"/>
          <w:spacing w:val="0"/>
          <w:position w:val="0"/>
          <w:sz w:val="21"/>
          <w:shd w:fill="auto" w:val="clear"/>
        </w:rPr>
      </w:pPr>
    </w:p>
    <w:p>
      <w:pPr>
        <w:spacing w:before="0" w:after="0" w:line="259"/>
        <w:ind w:right="566"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Balance Between Sectors </w:t>
      </w:r>
      <w:r>
        <w:rPr>
          <w:rFonts w:ascii="Arial" w:hAnsi="Arial" w:cs="Arial" w:eastAsia="Arial"/>
          <w:color w:val="auto"/>
          <w:spacing w:val="0"/>
          <w:position w:val="0"/>
          <w:sz w:val="20"/>
          <w:shd w:fill="auto" w:val="clear"/>
        </w:rPr>
        <w:t xml:space="preserve">Unfortunately, this change will increase the imbalance in the Canadian tax</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system</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between</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corporate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individual</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taxpayers.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Before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change,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individuals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were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already paying a disproportionate share of tax revenues. The intent of this change was to further increase this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imbalance.</w:t>
      </w:r>
    </w:p>
    <w:p>
      <w:pPr>
        <w:spacing w:before="9" w:after="0" w:line="240"/>
        <w:ind w:right="0" w:left="0" w:firstLine="0"/>
        <w:jc w:val="left"/>
        <w:rPr>
          <w:rFonts w:ascii="Arial" w:hAnsi="Arial" w:cs="Arial" w:eastAsia="Arial"/>
          <w:color w:val="auto"/>
          <w:spacing w:val="0"/>
          <w:position w:val="0"/>
          <w:sz w:val="20"/>
          <w:shd w:fill="auto" w:val="clear"/>
        </w:rPr>
      </w:pPr>
    </w:p>
    <w:p>
      <w:pPr>
        <w:spacing w:before="0" w:after="0" w:line="242"/>
        <w:ind w:right="616" w:left="258"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International Competitiveness </w:t>
      </w:r>
      <w:r>
        <w:rPr>
          <w:rFonts w:ascii="Arial" w:hAnsi="Arial" w:cs="Arial" w:eastAsia="Arial"/>
          <w:color w:val="auto"/>
          <w:spacing w:val="0"/>
          <w:position w:val="0"/>
          <w:sz w:val="20"/>
          <w:shd w:fill="auto" w:val="clear"/>
        </w:rPr>
        <w:t xml:space="preserve">This increase further widens the gap between Canadian and U.S. tax rates, making Canada far less competitive with the U.S. However, Canadian tax rates are not out of line with tax rates in other industrialized countries.</w:t>
      </w:r>
    </w:p>
    <w:p>
      <w:pPr>
        <w:spacing w:before="0" w:after="0" w:line="242"/>
        <w:ind w:right="0" w:left="0" w:firstLine="0"/>
        <w:jc w:val="both"/>
        <w:rPr>
          <w:rFonts w:ascii="Arial" w:hAnsi="Arial" w:cs="Arial" w:eastAsia="Arial"/>
          <w:color w:val="auto"/>
          <w:spacing w:val="0"/>
          <w:position w:val="0"/>
          <w:sz w:val="22"/>
          <w:shd w:fill="auto" w:val="clear"/>
        </w:rPr>
      </w:pPr>
    </w:p>
    <w:p>
      <w:pPr>
        <w:spacing w:before="6" w:after="0" w:line="240"/>
        <w:ind w:right="0" w:left="0" w:firstLine="0"/>
        <w:jc w:val="left"/>
        <w:rPr>
          <w:rFonts w:ascii="Arial" w:hAnsi="Arial" w:cs="Arial" w:eastAsia="Arial"/>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2</w:t>
      </w:r>
    </w:p>
    <w:p>
      <w:pPr>
        <w:spacing w:before="5" w:after="0" w:line="240"/>
        <w:ind w:right="0" w:left="0" w:firstLine="0"/>
        <w:jc w:val="left"/>
        <w:rPr>
          <w:rFonts w:ascii="Arial" w:hAnsi="Arial" w:cs="Arial" w:eastAsia="Arial"/>
          <w:b/>
          <w:color w:val="auto"/>
          <w:spacing w:val="0"/>
          <w:position w:val="0"/>
          <w:sz w:val="10"/>
          <w:shd w:fill="auto" w:val="clear"/>
        </w:rPr>
      </w:pPr>
    </w:p>
    <w:p>
      <w:pPr>
        <w:spacing w:before="101" w:after="0" w:line="259"/>
        <w:ind w:right="767" w:left="620" w:firstLine="0"/>
        <w:jc w:val="left"/>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Instructor Note </w:t>
      </w:r>
      <w:r>
        <w:rPr>
          <w:rFonts w:ascii="Arial" w:hAnsi="Arial" w:cs="Arial" w:eastAsia="Arial"/>
          <w:color w:val="auto"/>
          <w:spacing w:val="0"/>
          <w:position w:val="0"/>
          <w:sz w:val="20"/>
          <w:shd w:fill="auto" w:val="clear"/>
        </w:rPr>
        <w:t xml:space="preserve">There is obviously no definite solution to this problem. What follows represents only possible comments that could be made.</w:t>
      </w:r>
    </w:p>
    <w:p>
      <w:pPr>
        <w:spacing w:before="0" w:after="0" w:line="240"/>
        <w:ind w:right="0" w:left="0" w:firstLine="0"/>
        <w:jc w:val="left"/>
        <w:rPr>
          <w:rFonts w:ascii="Arial" w:hAnsi="Arial" w:cs="Arial" w:eastAsia="Arial"/>
          <w:color w:val="auto"/>
          <w:spacing w:val="0"/>
          <w:position w:val="0"/>
          <w:sz w:val="21"/>
          <w:shd w:fill="auto" w:val="clear"/>
        </w:rPr>
      </w:pPr>
    </w:p>
    <w:p>
      <w:pPr>
        <w:spacing w:before="0" w:after="0" w:line="259"/>
        <w:ind w:right="573" w:left="260"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For the Canadian tax system to be more competitive with the United States, both individual and corporate tax rates in this country would have to be lowered. The most obvious conflict that would arise</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with</w:t>
      </w:r>
      <w:r>
        <w:rPr>
          <w:rFonts w:ascii="Arial" w:hAnsi="Arial" w:cs="Arial" w:eastAsia="Arial"/>
          <w:color w:val="auto"/>
          <w:spacing w:val="-12"/>
          <w:position w:val="0"/>
          <w:sz w:val="20"/>
          <w:shd w:fill="auto" w:val="clear"/>
        </w:rPr>
        <w:t xml:space="preserve"> </w:t>
      </w:r>
      <w:r>
        <w:rPr>
          <w:rFonts w:ascii="Arial" w:hAnsi="Arial" w:cs="Arial" w:eastAsia="Arial"/>
          <w:b/>
          <w:color w:val="auto"/>
          <w:spacing w:val="0"/>
          <w:position w:val="0"/>
          <w:sz w:val="20"/>
          <w:shd w:fill="auto" w:val="clear"/>
        </w:rPr>
        <w:t xml:space="preserve">ADEQUACY</w:t>
      </w:r>
      <w:r>
        <w:rPr>
          <w:rFonts w:ascii="Arial" w:hAnsi="Arial" w:cs="Arial" w:eastAsia="Arial"/>
          <w:b/>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revenues.</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Tax</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rate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reductions</w:t>
      </w:r>
      <w:r>
        <w:rPr>
          <w:rFonts w:ascii="Arial" w:hAnsi="Arial" w:cs="Arial" w:eastAsia="Arial"/>
          <w:color w:val="auto"/>
          <w:spacing w:val="-14"/>
          <w:position w:val="0"/>
          <w:sz w:val="20"/>
          <w:shd w:fill="auto" w:val="clear"/>
        </w:rPr>
        <w:t xml:space="preserve"> </w:t>
      </w:r>
      <w:r>
        <w:rPr>
          <w:rFonts w:ascii="Arial" w:hAnsi="Arial" w:cs="Arial" w:eastAsia="Arial"/>
          <w:color w:val="auto"/>
          <w:spacing w:val="0"/>
          <w:position w:val="0"/>
          <w:sz w:val="20"/>
          <w:shd w:fill="auto" w:val="clear"/>
        </w:rPr>
        <w:t xml:space="preserve">reduce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revenues</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4"/>
          <w:position w:val="0"/>
          <w:sz w:val="20"/>
          <w:shd w:fill="auto" w:val="clear"/>
        </w:rPr>
        <w:t xml:space="preserve"> </w:t>
      </w:r>
      <w:r>
        <w:rPr>
          <w:rFonts w:ascii="Arial" w:hAnsi="Arial" w:cs="Arial" w:eastAsia="Arial"/>
          <w:color w:val="auto"/>
          <w:spacing w:val="0"/>
          <w:position w:val="0"/>
          <w:sz w:val="20"/>
          <w:shd w:fill="auto" w:val="clear"/>
        </w:rPr>
        <w:t xml:space="preserve">create additional problems with the large budget deficits that are currently being experienced in</w:t>
      </w:r>
      <w:r>
        <w:rPr>
          <w:rFonts w:ascii="Arial" w:hAnsi="Arial" w:cs="Arial" w:eastAsia="Arial"/>
          <w:color w:val="auto"/>
          <w:spacing w:val="-37"/>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96" w:after="0" w:line="259"/>
        <w:ind w:right="574" w:left="260"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Another issue is </w:t>
      </w:r>
      <w:r>
        <w:rPr>
          <w:rFonts w:ascii="Arial" w:hAnsi="Arial" w:cs="Arial" w:eastAsia="Arial"/>
          <w:b/>
          <w:color w:val="auto"/>
          <w:spacing w:val="0"/>
          <w:position w:val="0"/>
          <w:sz w:val="20"/>
          <w:shd w:fill="auto" w:val="clear"/>
        </w:rPr>
        <w:t xml:space="preserve">BALANCE BETWEEN SECTORS</w:t>
      </w:r>
      <w:r>
        <w:rPr>
          <w:rFonts w:ascii="Arial" w:hAnsi="Arial" w:cs="Arial" w:eastAsia="Arial"/>
          <w:color w:val="auto"/>
          <w:spacing w:val="0"/>
          <w:position w:val="0"/>
          <w:sz w:val="20"/>
          <w:shd w:fill="auto" w:val="clear"/>
        </w:rPr>
        <w:t xml:space="preserve">. The Canadian system is already heavily dependent on individual income taxes as opposed to corporate income taxes. Lowering corporate rates would further exacerbate this problem.</w:t>
      </w:r>
    </w:p>
    <w:p>
      <w:pPr>
        <w:spacing w:before="97" w:after="0" w:line="259"/>
        <w:ind w:right="575" w:left="258" w:hanging="1"/>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question of </w:t>
      </w:r>
      <w:r>
        <w:rPr>
          <w:rFonts w:ascii="Arial" w:hAnsi="Arial" w:cs="Arial" w:eastAsia="Arial"/>
          <w:b/>
          <w:color w:val="auto"/>
          <w:spacing w:val="0"/>
          <w:position w:val="0"/>
          <w:sz w:val="20"/>
          <w:shd w:fill="auto" w:val="clear"/>
        </w:rPr>
        <w:t xml:space="preserve">NEUTRALITY </w:t>
      </w:r>
      <w:r>
        <w:rPr>
          <w:rFonts w:ascii="Arial" w:hAnsi="Arial" w:cs="Arial" w:eastAsia="Arial"/>
          <w:color w:val="auto"/>
          <w:spacing w:val="0"/>
          <w:position w:val="0"/>
          <w:sz w:val="20"/>
          <w:shd w:fill="auto" w:val="clear"/>
        </w:rPr>
        <w:t xml:space="preserve">could also be involved. Trying to match either U.S. individual or U.S. corporate rates could have an impact on economic decisions.</w:t>
      </w:r>
    </w:p>
    <w:p>
      <w:pPr>
        <w:spacing w:before="98" w:after="0" w:line="240"/>
        <w:ind w:right="0" w:left="258"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Any change in tax rates has an impact on </w:t>
      </w:r>
      <w:r>
        <w:rPr>
          <w:rFonts w:ascii="Arial" w:hAnsi="Arial" w:cs="Arial" w:eastAsia="Arial"/>
          <w:b/>
          <w:color w:val="auto"/>
          <w:spacing w:val="0"/>
          <w:position w:val="0"/>
          <w:sz w:val="20"/>
          <w:shd w:fill="auto" w:val="clear"/>
        </w:rPr>
        <w:t xml:space="preserve">CERTAINTY </w:t>
      </w:r>
      <w:r>
        <w:rPr>
          <w:rFonts w:ascii="Arial" w:hAnsi="Arial" w:cs="Arial" w:eastAsia="Arial"/>
          <w:color w:val="auto"/>
          <w:spacing w:val="0"/>
          <w:position w:val="0"/>
          <w:sz w:val="20"/>
          <w:shd w:fill="auto" w:val="clear"/>
        </w:rPr>
        <w:t xml:space="preserve">in that such changes alter expectations.</w:t>
      </w:r>
    </w:p>
    <w:p>
      <w:pPr>
        <w:spacing w:before="117" w:after="0" w:line="259"/>
        <w:ind w:right="576"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Depending on whether changes are made to corporate rates or, alternatively, individual rates, this could have an impact on </w:t>
      </w:r>
      <w:r>
        <w:rPr>
          <w:rFonts w:ascii="Arial" w:hAnsi="Arial" w:cs="Arial" w:eastAsia="Arial"/>
          <w:b/>
          <w:color w:val="auto"/>
          <w:spacing w:val="0"/>
          <w:position w:val="0"/>
          <w:sz w:val="20"/>
          <w:shd w:fill="auto" w:val="clear"/>
        </w:rPr>
        <w:t xml:space="preserve">FAIRNESS </w:t>
      </w:r>
      <w:r>
        <w:rPr>
          <w:rFonts w:ascii="Arial" w:hAnsi="Arial" w:cs="Arial" w:eastAsia="Arial"/>
          <w:color w:val="auto"/>
          <w:spacing w:val="0"/>
          <w:position w:val="0"/>
          <w:sz w:val="20"/>
          <w:shd w:fill="auto" w:val="clear"/>
        </w:rPr>
        <w:t xml:space="preserve">or </w:t>
      </w:r>
      <w:r>
        <w:rPr>
          <w:rFonts w:ascii="Arial" w:hAnsi="Arial" w:cs="Arial" w:eastAsia="Arial"/>
          <w:b/>
          <w:color w:val="auto"/>
          <w:spacing w:val="0"/>
          <w:position w:val="0"/>
          <w:sz w:val="20"/>
          <w:shd w:fill="auto" w:val="clear"/>
        </w:rPr>
        <w:t xml:space="preserve">EQUITY</w:t>
      </w:r>
      <w:r>
        <w:rPr>
          <w:rFonts w:ascii="Arial" w:hAnsi="Arial" w:cs="Arial" w:eastAsia="Arial"/>
          <w:color w:val="auto"/>
          <w:spacing w:val="0"/>
          <w:position w:val="0"/>
          <w:sz w:val="20"/>
          <w:shd w:fill="auto" w:val="clear"/>
        </w:rPr>
        <w:t xml:space="preserve">.</w:t>
      </w:r>
    </w:p>
    <w:p>
      <w:pPr>
        <w:spacing w:before="100" w:after="0" w:line="362"/>
        <w:ind w:right="1602" w:left="259"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Trying to match rates in the U.S. reduces the </w:t>
      </w:r>
      <w:r>
        <w:rPr>
          <w:rFonts w:ascii="Arial" w:hAnsi="Arial" w:cs="Arial" w:eastAsia="Arial"/>
          <w:b/>
          <w:color w:val="auto"/>
          <w:spacing w:val="0"/>
          <w:position w:val="0"/>
          <w:sz w:val="20"/>
          <w:shd w:fill="auto" w:val="clear"/>
        </w:rPr>
        <w:t xml:space="preserve">FLEXIBILITY </w:t>
      </w:r>
      <w:r>
        <w:rPr>
          <w:rFonts w:ascii="Arial" w:hAnsi="Arial" w:cs="Arial" w:eastAsia="Arial"/>
          <w:color w:val="auto"/>
          <w:spacing w:val="0"/>
          <w:position w:val="0"/>
          <w:sz w:val="20"/>
          <w:shd w:fill="auto" w:val="clear"/>
        </w:rPr>
        <w:t xml:space="preserve">of the Canadian tax system. As noted, other comments could be appropriate.</w:t>
      </w:r>
    </w:p>
    <w:p>
      <w:pPr>
        <w:spacing w:before="0" w:after="0" w:line="362"/>
        <w:ind w:right="0" w:left="0" w:firstLine="0"/>
        <w:jc w:val="left"/>
        <w:rPr>
          <w:rFonts w:ascii="Arial" w:hAnsi="Arial" w:cs="Arial" w:eastAsia="Arial"/>
          <w:color w:val="auto"/>
          <w:spacing w:val="0"/>
          <w:position w:val="0"/>
          <w:sz w:val="22"/>
          <w:shd w:fill="auto" w:val="clear"/>
        </w:rPr>
      </w:pPr>
    </w:p>
    <w:p>
      <w:pPr>
        <w:spacing w:before="6" w:after="0" w:line="240"/>
        <w:ind w:right="0" w:left="0" w:firstLine="0"/>
        <w:jc w:val="left"/>
        <w:rPr>
          <w:rFonts w:ascii="Arial" w:hAnsi="Arial" w:cs="Arial" w:eastAsia="Arial"/>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3</w:t>
      </w:r>
    </w:p>
    <w:p>
      <w:pPr>
        <w:spacing w:before="7" w:after="0" w:line="240"/>
        <w:ind w:right="0" w:left="0" w:firstLine="0"/>
        <w:jc w:val="left"/>
        <w:rPr>
          <w:rFonts w:ascii="Arial" w:hAnsi="Arial" w:cs="Arial" w:eastAsia="Arial"/>
          <w:b/>
          <w:color w:val="auto"/>
          <w:spacing w:val="0"/>
          <w:position w:val="0"/>
          <w:sz w:val="10"/>
          <w:shd w:fill="auto" w:val="clear"/>
        </w:rPr>
      </w:pPr>
    </w:p>
    <w:p>
      <w:pPr>
        <w:numPr>
          <w:ilvl w:val="0"/>
          <w:numId w:val="61"/>
        </w:numPr>
        <w:tabs>
          <w:tab w:val="left" w:pos="620" w:leader="none"/>
        </w:tabs>
        <w:spacing w:before="100" w:after="0" w:line="259"/>
        <w:ind w:right="575" w:left="619" w:hanging="359"/>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Diamonds, South Africa </w:t>
      </w:r>
      <w:r>
        <w:rPr>
          <w:rFonts w:ascii="Arial" w:hAnsi="Arial" w:cs="Arial" w:eastAsia="Arial"/>
          <w:color w:val="auto"/>
          <w:spacing w:val="0"/>
          <w:position w:val="0"/>
          <w:sz w:val="20"/>
          <w:shd w:fill="auto" w:val="clear"/>
        </w:rPr>
        <w:t xml:space="preserve">In a monopoly, the tax will probably be entirely shifted to employees and/or consumers. The incidence shift will depend on competition in world markets and employment levels. If the international diamond market is price sensitive and there is high unemployment in South Africa, then the tax will be shifted almost entirely to</w:t>
      </w:r>
      <w:r>
        <w:rPr>
          <w:rFonts w:ascii="Arial" w:hAnsi="Arial" w:cs="Arial" w:eastAsia="Arial"/>
          <w:color w:val="auto"/>
          <w:spacing w:val="-25"/>
          <w:position w:val="0"/>
          <w:sz w:val="20"/>
          <w:shd w:fill="auto" w:val="clear"/>
        </w:rPr>
        <w:t xml:space="preserve"> </w:t>
      </w:r>
      <w:r>
        <w:rPr>
          <w:rFonts w:ascii="Arial" w:hAnsi="Arial" w:cs="Arial" w:eastAsia="Arial"/>
          <w:color w:val="auto"/>
          <w:spacing w:val="0"/>
          <w:position w:val="0"/>
          <w:sz w:val="20"/>
          <w:shd w:fill="auto" w:val="clear"/>
        </w:rPr>
        <w:t xml:space="preserve">employees.</w:t>
      </w:r>
    </w:p>
    <w:p>
      <w:pPr>
        <w:spacing w:before="92" w:after="0" w:line="259"/>
        <w:ind w:right="574" w:left="618" w:firstLine="0"/>
        <w:jc w:val="both"/>
        <w:rPr>
          <w:rFonts w:ascii="Calibri" w:hAnsi="Calibri" w:cs="Calibri" w:eastAsia="Calibri"/>
          <w:color w:val="auto"/>
          <w:spacing w:val="0"/>
          <w:position w:val="0"/>
          <w:sz w:val="20"/>
          <w:shd w:fill="auto" w:val="clear"/>
        </w:rPr>
      </w:pPr>
      <w:r>
        <w:rPr>
          <w:rFonts w:ascii="Arial" w:hAnsi="Arial" w:cs="Arial" w:eastAsia="Arial"/>
          <w:color w:val="auto"/>
          <w:spacing w:val="0"/>
          <w:position w:val="0"/>
          <w:sz w:val="20"/>
          <w:shd w:fill="auto" w:val="clear"/>
        </w:rPr>
        <w:t xml:space="preserve">The shifting assumptions affect evaluation of the tax using the characteristics of a </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good</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Calibri" w:hAnsi="Calibri" w:cs="Calibri" w:eastAsia="Calibri"/>
          <w:color w:val="auto"/>
          <w:spacing w:val="0"/>
          <w:position w:val="0"/>
          <w:sz w:val="20"/>
          <w:shd w:fill="auto" w:val="clear"/>
        </w:rPr>
        <w:t xml:space="preserve">tax system.</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tax</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that</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is</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entirely</w:t>
      </w:r>
      <w:r>
        <w:rPr>
          <w:rFonts w:ascii="Calibri" w:hAnsi="Calibri" w:cs="Calibri" w:eastAsia="Calibri"/>
          <w:color w:val="auto"/>
          <w:spacing w:val="-1"/>
          <w:position w:val="0"/>
          <w:sz w:val="20"/>
          <w:shd w:fill="auto" w:val="clear"/>
        </w:rPr>
        <w:t xml:space="preserve"> </w:t>
      </w:r>
      <w:r>
        <w:rPr>
          <w:rFonts w:ascii="Calibri" w:hAnsi="Calibri" w:cs="Calibri" w:eastAsia="Calibri"/>
          <w:color w:val="auto"/>
          <w:spacing w:val="0"/>
          <w:position w:val="0"/>
          <w:sz w:val="20"/>
          <w:shd w:fill="auto" w:val="clear"/>
        </w:rPr>
        <w:t xml:space="preserve">shifted</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employees</w:t>
      </w:r>
      <w:r>
        <w:rPr>
          <w:rFonts w:ascii="Calibri" w:hAnsi="Calibri" w:cs="Calibri" w:eastAsia="Calibri"/>
          <w:color w:val="auto"/>
          <w:spacing w:val="-1"/>
          <w:position w:val="0"/>
          <w:sz w:val="20"/>
          <w:shd w:fill="auto" w:val="clear"/>
        </w:rPr>
        <w:t xml:space="preserve"> </w:t>
      </w:r>
      <w:r>
        <w:rPr>
          <w:rFonts w:ascii="Calibri" w:hAnsi="Calibri" w:cs="Calibri" w:eastAsia="Calibri"/>
          <w:color w:val="auto"/>
          <w:spacing w:val="0"/>
          <w:position w:val="0"/>
          <w:sz w:val="20"/>
          <w:shd w:fill="auto" w:val="clear"/>
        </w:rPr>
        <w:t xml:space="preserve">is</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similar</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one</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on</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wages</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and</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is</w:t>
      </w:r>
      <w:r>
        <w:rPr>
          <w:rFonts w:ascii="Calibri" w:hAnsi="Calibri" w:cs="Calibri" w:eastAsia="Calibri"/>
          <w:color w:val="auto"/>
          <w:spacing w:val="-1"/>
          <w:position w:val="0"/>
          <w:sz w:val="20"/>
          <w:shd w:fill="auto" w:val="clear"/>
        </w:rPr>
        <w:t xml:space="preserve"> </w:t>
      </w:r>
      <w:r>
        <w:rPr>
          <w:rFonts w:ascii="Calibri" w:hAnsi="Calibri" w:cs="Calibri" w:eastAsia="Calibri"/>
          <w:color w:val="auto"/>
          <w:spacing w:val="0"/>
          <w:position w:val="0"/>
          <w:sz w:val="20"/>
          <w:shd w:fill="auto" w:val="clear"/>
        </w:rPr>
        <w:t xml:space="preserve">non-neutral, as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it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affects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decisions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employees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continue</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working.</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Some</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employees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will</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work</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less</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and thus increase the excess burden resulting from the imposition of the</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tax.</w:t>
      </w:r>
    </w:p>
    <w:p>
      <w:pPr>
        <w:spacing w:before="2" w:after="0" w:line="240"/>
        <w:ind w:right="0" w:left="0" w:firstLine="0"/>
        <w:jc w:val="left"/>
        <w:rPr>
          <w:rFonts w:ascii="Calibri" w:hAnsi="Calibri" w:cs="Calibri" w:eastAsia="Calibri"/>
          <w:color w:val="auto"/>
          <w:spacing w:val="0"/>
          <w:position w:val="0"/>
          <w:sz w:val="20"/>
          <w:shd w:fill="auto" w:val="clear"/>
        </w:rPr>
      </w:pPr>
    </w:p>
    <w:p>
      <w:pPr>
        <w:numPr>
          <w:ilvl w:val="0"/>
          <w:numId w:val="64"/>
        </w:numPr>
        <w:tabs>
          <w:tab w:val="left" w:pos="620" w:leader="none"/>
        </w:tabs>
        <w:spacing w:before="1" w:after="0" w:line="259"/>
        <w:ind w:right="574" w:left="619" w:hanging="359"/>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Diamonds,</w:t>
      </w:r>
      <w:r>
        <w:rPr>
          <w:rFonts w:ascii="Calibri" w:hAnsi="Calibri" w:cs="Calibri" w:eastAsia="Calibri"/>
          <w:b/>
          <w:color w:val="auto"/>
          <w:spacing w:val="-13"/>
          <w:position w:val="0"/>
          <w:sz w:val="20"/>
          <w:shd w:fill="auto" w:val="clear"/>
        </w:rPr>
        <w:t xml:space="preserve"> </w:t>
      </w:r>
      <w:r>
        <w:rPr>
          <w:rFonts w:ascii="Calibri" w:hAnsi="Calibri" w:cs="Calibri" w:eastAsia="Calibri"/>
          <w:b/>
          <w:color w:val="auto"/>
          <w:spacing w:val="0"/>
          <w:position w:val="0"/>
          <w:sz w:val="20"/>
          <w:shd w:fill="auto" w:val="clear"/>
        </w:rPr>
        <w:t xml:space="preserve">Sierra</w:t>
      </w:r>
      <w:r>
        <w:rPr>
          <w:rFonts w:ascii="Calibri" w:hAnsi="Calibri" w:cs="Calibri" w:eastAsia="Calibri"/>
          <w:b/>
          <w:color w:val="auto"/>
          <w:spacing w:val="-11"/>
          <w:position w:val="0"/>
          <w:sz w:val="20"/>
          <w:shd w:fill="auto" w:val="clear"/>
        </w:rPr>
        <w:t xml:space="preserve"> </w:t>
      </w:r>
      <w:r>
        <w:rPr>
          <w:rFonts w:ascii="Calibri" w:hAnsi="Calibri" w:cs="Calibri" w:eastAsia="Calibri"/>
          <w:b/>
          <w:color w:val="auto"/>
          <w:spacing w:val="0"/>
          <w:position w:val="0"/>
          <w:sz w:val="20"/>
          <w:shd w:fill="auto" w:val="clear"/>
        </w:rPr>
        <w:t xml:space="preserve">Leone</w:t>
      </w:r>
      <w:r>
        <w:rPr>
          <w:rFonts w:ascii="Calibri" w:hAnsi="Calibri" w:cs="Calibri" w:eastAsia="Calibri"/>
          <w:b/>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taxing</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authorities</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will</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find</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it</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difficult</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enforce</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tax,</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due</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their inability</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track</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diamond</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movements.</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Records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maintained</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by</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mine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will</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likely</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be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inaccessible, and those presented will be incomplete. The tax will not be effective and the tax revenue will be uncertain and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inadequate.</w:t>
      </w:r>
    </w:p>
    <w:p>
      <w:pPr>
        <w:spacing w:before="3" w:after="0" w:line="240"/>
        <w:ind w:right="0" w:left="0" w:firstLine="0"/>
        <w:jc w:val="left"/>
        <w:rPr>
          <w:rFonts w:ascii="Calibri" w:hAnsi="Calibri" w:cs="Calibri" w:eastAsia="Calibri"/>
          <w:color w:val="auto"/>
          <w:spacing w:val="0"/>
          <w:position w:val="0"/>
          <w:sz w:val="20"/>
          <w:shd w:fill="auto" w:val="clear"/>
        </w:rPr>
      </w:pPr>
    </w:p>
    <w:p>
      <w:pPr>
        <w:numPr>
          <w:ilvl w:val="0"/>
          <w:numId w:val="66"/>
        </w:numPr>
        <w:tabs>
          <w:tab w:val="left" w:pos="620" w:leader="none"/>
        </w:tabs>
        <w:spacing w:before="1" w:after="0" w:line="259"/>
        <w:ind w:right="572" w:left="619" w:hanging="359"/>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Principal Residences, Canada </w:t>
      </w:r>
      <w:r>
        <w:rPr>
          <w:rFonts w:ascii="Calibri" w:hAnsi="Calibri" w:cs="Calibri" w:eastAsia="Calibri"/>
          <w:color w:val="auto"/>
          <w:spacing w:val="0"/>
          <w:position w:val="0"/>
          <w:sz w:val="20"/>
          <w:shd w:fill="auto" w:val="clear"/>
        </w:rPr>
        <w:t xml:space="preserve">This exemption is non-neutral because investment decisions are affected by the tax preference. Given the choice of investing in real estate to hold for resale or</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principal</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residence,</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both</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which</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are</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likely</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appreciate,</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taxpayer</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will</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invest</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in</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principal residence so that the gain on disposition is tax</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exempt.</w:t>
      </w:r>
    </w:p>
    <w:p>
      <w:pPr>
        <w:spacing w:before="95" w:after="0" w:line="259"/>
        <w:ind w:right="577" w:left="618"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It is also vertically inequitable because it benefits high-income families who can invest in more expensive residences, which have the potential of earning greater returns.</w:t>
      </w:r>
    </w:p>
    <w:p>
      <w:pPr>
        <w:spacing w:before="97" w:after="0" w:line="259"/>
        <w:ind w:right="575" w:left="618"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This tax expenditure is spread among all taxpayers, and general tax revenue must be larger to compensate for the revenue forgone.</w:t>
      </w:r>
    </w:p>
    <w:p>
      <w:pPr>
        <w:spacing w:before="6" w:after="0" w:line="240"/>
        <w:ind w:right="0" w:left="0" w:firstLine="0"/>
        <w:jc w:val="left"/>
        <w:rPr>
          <w:rFonts w:ascii="Calibri" w:hAnsi="Calibri" w:cs="Calibri" w:eastAsia="Calibri"/>
          <w:color w:val="auto"/>
          <w:spacing w:val="0"/>
          <w:position w:val="0"/>
          <w:sz w:val="20"/>
          <w:shd w:fill="auto" w:val="clear"/>
        </w:rPr>
      </w:pPr>
    </w:p>
    <w:p>
      <w:pPr>
        <w:numPr>
          <w:ilvl w:val="0"/>
          <w:numId w:val="70"/>
        </w:numPr>
        <w:tabs>
          <w:tab w:val="left" w:pos="620" w:leader="none"/>
        </w:tabs>
        <w:spacing w:before="0" w:after="0" w:line="259"/>
        <w:ind w:right="572" w:left="619" w:hanging="359"/>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3"/>
          <w:position w:val="0"/>
          <w:sz w:val="20"/>
          <w:shd w:fill="auto" w:val="clear"/>
        </w:rPr>
        <w:t xml:space="preserve">Business Meals, Canada </w:t>
      </w:r>
      <w:r>
        <w:rPr>
          <w:rFonts w:ascii="Calibri" w:hAnsi="Calibri" w:cs="Calibri" w:eastAsia="Calibri"/>
          <w:color w:val="auto"/>
          <w:spacing w:val="-3"/>
          <w:position w:val="0"/>
          <w:sz w:val="20"/>
          <w:shd w:fill="auto" w:val="clear"/>
        </w:rPr>
        <w:t xml:space="preserve">This restriction adds complexity </w:t>
      </w:r>
      <w:r>
        <w:rPr>
          <w:rFonts w:ascii="Calibri" w:hAnsi="Calibri" w:cs="Calibri" w:eastAsia="Calibri"/>
          <w:color w:val="auto"/>
          <w:spacing w:val="0"/>
          <w:position w:val="0"/>
          <w:sz w:val="20"/>
          <w:shd w:fill="auto" w:val="clear"/>
        </w:rPr>
        <w:t xml:space="preserve">to </w:t>
      </w:r>
      <w:r>
        <w:rPr>
          <w:rFonts w:ascii="Calibri" w:hAnsi="Calibri" w:cs="Calibri" w:eastAsia="Calibri"/>
          <w:color w:val="auto"/>
          <w:spacing w:val="-3"/>
          <w:position w:val="0"/>
          <w:sz w:val="20"/>
          <w:shd w:fill="auto" w:val="clear"/>
        </w:rPr>
        <w:t xml:space="preserve">accounting </w:t>
      </w:r>
      <w:r>
        <w:rPr>
          <w:rFonts w:ascii="Calibri" w:hAnsi="Calibri" w:cs="Calibri" w:eastAsia="Calibri"/>
          <w:color w:val="auto"/>
          <w:spacing w:val="0"/>
          <w:position w:val="0"/>
          <w:sz w:val="20"/>
          <w:shd w:fill="auto" w:val="clear"/>
        </w:rPr>
        <w:t xml:space="preserve">for </w:t>
      </w:r>
      <w:r>
        <w:rPr>
          <w:rFonts w:ascii="Calibri" w:hAnsi="Calibri" w:cs="Calibri" w:eastAsia="Calibri"/>
          <w:color w:val="auto"/>
          <w:spacing w:val="-3"/>
          <w:position w:val="0"/>
          <w:sz w:val="20"/>
          <w:shd w:fill="auto" w:val="clear"/>
        </w:rPr>
        <w:t xml:space="preserve">deductible expenses, </w:t>
      </w:r>
      <w:r>
        <w:rPr>
          <w:rFonts w:ascii="Calibri" w:hAnsi="Calibri" w:cs="Calibri" w:eastAsia="Calibri"/>
          <w:color w:val="auto"/>
          <w:spacing w:val="0"/>
          <w:position w:val="0"/>
          <w:sz w:val="20"/>
          <w:shd w:fill="auto" w:val="clear"/>
        </w:rPr>
        <w:t xml:space="preserve">as all </w:t>
      </w:r>
      <w:r>
        <w:rPr>
          <w:rFonts w:ascii="Calibri" w:hAnsi="Calibri" w:cs="Calibri" w:eastAsia="Calibri"/>
          <w:color w:val="auto"/>
          <w:spacing w:val="-3"/>
          <w:position w:val="0"/>
          <w:sz w:val="20"/>
          <w:shd w:fill="auto" w:val="clear"/>
        </w:rPr>
        <w:t xml:space="preserve">business meals </w:t>
      </w:r>
      <w:r>
        <w:rPr>
          <w:rFonts w:ascii="Calibri" w:hAnsi="Calibri" w:cs="Calibri" w:eastAsia="Calibri"/>
          <w:color w:val="auto"/>
          <w:spacing w:val="0"/>
          <w:position w:val="0"/>
          <w:sz w:val="20"/>
          <w:shd w:fill="auto" w:val="clear"/>
        </w:rPr>
        <w:t xml:space="preserve">have to be </w:t>
      </w:r>
      <w:r>
        <w:rPr>
          <w:rFonts w:ascii="Calibri" w:hAnsi="Calibri" w:cs="Calibri" w:eastAsia="Calibri"/>
          <w:color w:val="auto"/>
          <w:spacing w:val="-3"/>
          <w:position w:val="0"/>
          <w:sz w:val="20"/>
          <w:shd w:fill="auto" w:val="clear"/>
        </w:rPr>
        <w:t xml:space="preserve">accounted </w:t>
      </w:r>
      <w:r>
        <w:rPr>
          <w:rFonts w:ascii="Calibri" w:hAnsi="Calibri" w:cs="Calibri" w:eastAsia="Calibri"/>
          <w:color w:val="auto"/>
          <w:spacing w:val="0"/>
          <w:position w:val="0"/>
          <w:sz w:val="20"/>
          <w:shd w:fill="auto" w:val="clear"/>
        </w:rPr>
        <w:t xml:space="preserve">for and </w:t>
      </w:r>
      <w:r>
        <w:rPr>
          <w:rFonts w:ascii="Calibri" w:hAnsi="Calibri" w:cs="Calibri" w:eastAsia="Calibri"/>
          <w:color w:val="auto"/>
          <w:spacing w:val="-3"/>
          <w:position w:val="0"/>
          <w:sz w:val="20"/>
          <w:shd w:fill="auto" w:val="clear"/>
        </w:rPr>
        <w:t xml:space="preserve">accumulated separately </w:t>
      </w:r>
      <w:r>
        <w:rPr>
          <w:rFonts w:ascii="Calibri" w:hAnsi="Calibri" w:cs="Calibri" w:eastAsia="Calibri"/>
          <w:color w:val="auto"/>
          <w:spacing w:val="0"/>
          <w:position w:val="0"/>
          <w:sz w:val="20"/>
          <w:shd w:fill="auto" w:val="clear"/>
        </w:rPr>
        <w:t xml:space="preserve">from </w:t>
      </w:r>
      <w:r>
        <w:rPr>
          <w:rFonts w:ascii="Calibri" w:hAnsi="Calibri" w:cs="Calibri" w:eastAsia="Calibri"/>
          <w:color w:val="auto"/>
          <w:spacing w:val="-3"/>
          <w:position w:val="0"/>
          <w:sz w:val="20"/>
          <w:shd w:fill="auto" w:val="clear"/>
        </w:rPr>
        <w:t xml:space="preserve">other promotion expenses. </w:t>
      </w:r>
      <w:r>
        <w:rPr>
          <w:rFonts w:ascii="Calibri" w:hAnsi="Calibri" w:cs="Calibri" w:eastAsia="Calibri"/>
          <w:color w:val="auto"/>
          <w:spacing w:val="0"/>
          <w:position w:val="0"/>
          <w:sz w:val="20"/>
          <w:shd w:fill="auto" w:val="clear"/>
        </w:rPr>
        <w:t xml:space="preserve">The tax </w:t>
      </w:r>
      <w:r>
        <w:rPr>
          <w:rFonts w:ascii="Calibri" w:hAnsi="Calibri" w:cs="Calibri" w:eastAsia="Calibri"/>
          <w:color w:val="auto"/>
          <w:spacing w:val="-3"/>
          <w:position w:val="0"/>
          <w:sz w:val="20"/>
          <w:shd w:fill="auto" w:val="clear"/>
        </w:rPr>
        <w:t xml:space="preserve">could </w:t>
      </w:r>
      <w:r>
        <w:rPr>
          <w:rFonts w:ascii="Calibri" w:hAnsi="Calibri" w:cs="Calibri" w:eastAsia="Calibri"/>
          <w:color w:val="auto"/>
          <w:spacing w:val="0"/>
          <w:position w:val="0"/>
          <w:sz w:val="20"/>
          <w:shd w:fill="auto" w:val="clear"/>
        </w:rPr>
        <w:t xml:space="preserve">be </w:t>
      </w:r>
      <w:r>
        <w:rPr>
          <w:rFonts w:ascii="Calibri" w:hAnsi="Calibri" w:cs="Calibri" w:eastAsia="Calibri"/>
          <w:color w:val="auto"/>
          <w:spacing w:val="-3"/>
          <w:position w:val="0"/>
          <w:sz w:val="20"/>
          <w:shd w:fill="auto" w:val="clear"/>
        </w:rPr>
        <w:t xml:space="preserve">shifted </w:t>
      </w:r>
      <w:r>
        <w:rPr>
          <w:rFonts w:ascii="Calibri" w:hAnsi="Calibri" w:cs="Calibri" w:eastAsia="Calibri"/>
          <w:color w:val="auto"/>
          <w:spacing w:val="0"/>
          <w:position w:val="0"/>
          <w:sz w:val="20"/>
          <w:shd w:fill="auto" w:val="clear"/>
        </w:rPr>
        <w:t xml:space="preserve">to </w:t>
      </w:r>
      <w:r>
        <w:rPr>
          <w:rFonts w:ascii="Calibri" w:hAnsi="Calibri" w:cs="Calibri" w:eastAsia="Calibri"/>
          <w:color w:val="auto"/>
          <w:spacing w:val="-3"/>
          <w:position w:val="0"/>
          <w:sz w:val="20"/>
          <w:shd w:fill="auto" w:val="clear"/>
        </w:rPr>
        <w:t xml:space="preserve">consumers, employees, and/or shareholders. </w:t>
      </w:r>
      <w:r>
        <w:rPr>
          <w:rFonts w:ascii="Calibri" w:hAnsi="Calibri" w:cs="Calibri" w:eastAsia="Calibri"/>
          <w:color w:val="auto"/>
          <w:spacing w:val="0"/>
          <w:position w:val="0"/>
          <w:sz w:val="20"/>
          <w:shd w:fill="auto" w:val="clear"/>
        </w:rPr>
        <w:t xml:space="preserve">If it is </w:t>
      </w:r>
      <w:r>
        <w:rPr>
          <w:rFonts w:ascii="Calibri" w:hAnsi="Calibri" w:cs="Calibri" w:eastAsia="Calibri"/>
          <w:color w:val="auto"/>
          <w:spacing w:val="-3"/>
          <w:position w:val="0"/>
          <w:sz w:val="20"/>
          <w:shd w:fill="auto" w:val="clear"/>
        </w:rPr>
        <w:t xml:space="preserve">shifted </w:t>
      </w:r>
      <w:r>
        <w:rPr>
          <w:rFonts w:ascii="Calibri" w:hAnsi="Calibri" w:cs="Calibri" w:eastAsia="Calibri"/>
          <w:color w:val="auto"/>
          <w:spacing w:val="0"/>
          <w:position w:val="0"/>
          <w:sz w:val="20"/>
          <w:shd w:fill="auto" w:val="clear"/>
        </w:rPr>
        <w:t xml:space="preserve">to </w:t>
      </w:r>
      <w:r>
        <w:rPr>
          <w:rFonts w:ascii="Calibri" w:hAnsi="Calibri" w:cs="Calibri" w:eastAsia="Calibri"/>
          <w:color w:val="auto"/>
          <w:spacing w:val="-3"/>
          <w:position w:val="0"/>
          <w:sz w:val="20"/>
          <w:shd w:fill="auto" w:val="clear"/>
        </w:rPr>
        <w:t xml:space="preserve">consumers, </w:t>
      </w:r>
      <w:r>
        <w:rPr>
          <w:rFonts w:ascii="Calibri" w:hAnsi="Calibri" w:cs="Calibri" w:eastAsia="Calibri"/>
          <w:color w:val="auto"/>
          <w:spacing w:val="0"/>
          <w:position w:val="0"/>
          <w:sz w:val="20"/>
          <w:shd w:fill="auto" w:val="clear"/>
        </w:rPr>
        <w:t xml:space="preserve">it </w:t>
      </w:r>
      <w:r>
        <w:rPr>
          <w:rFonts w:ascii="Calibri" w:hAnsi="Calibri" w:cs="Calibri" w:eastAsia="Calibri"/>
          <w:color w:val="auto"/>
          <w:spacing w:val="-3"/>
          <w:position w:val="0"/>
          <w:sz w:val="20"/>
          <w:shd w:fill="auto" w:val="clear"/>
        </w:rPr>
        <w:t xml:space="preserve">could </w:t>
      </w:r>
      <w:r>
        <w:rPr>
          <w:rFonts w:ascii="Calibri" w:hAnsi="Calibri" w:cs="Calibri" w:eastAsia="Calibri"/>
          <w:color w:val="auto"/>
          <w:spacing w:val="0"/>
          <w:position w:val="0"/>
          <w:sz w:val="20"/>
          <w:shd w:fill="auto" w:val="clear"/>
        </w:rPr>
        <w:t xml:space="preserve">be more </w:t>
      </w:r>
      <w:r>
        <w:rPr>
          <w:rFonts w:ascii="Calibri" w:hAnsi="Calibri" w:cs="Calibri" w:eastAsia="Calibri"/>
          <w:color w:val="auto"/>
          <w:spacing w:val="-3"/>
          <w:position w:val="0"/>
          <w:sz w:val="20"/>
          <w:shd w:fill="auto" w:val="clear"/>
        </w:rPr>
        <w:t xml:space="preserve">advantageous </w:t>
      </w:r>
      <w:r>
        <w:rPr>
          <w:rFonts w:ascii="Calibri" w:hAnsi="Calibri" w:cs="Calibri" w:eastAsia="Calibri"/>
          <w:color w:val="auto"/>
          <w:spacing w:val="0"/>
          <w:position w:val="0"/>
          <w:sz w:val="20"/>
          <w:shd w:fill="auto" w:val="clear"/>
        </w:rPr>
        <w:t xml:space="preserve">to raise </w:t>
      </w:r>
      <w:r>
        <w:rPr>
          <w:rFonts w:ascii="Calibri" w:hAnsi="Calibri" w:cs="Calibri" w:eastAsia="Calibri"/>
          <w:color w:val="auto"/>
          <w:spacing w:val="-3"/>
          <w:position w:val="0"/>
          <w:sz w:val="20"/>
          <w:shd w:fill="auto" w:val="clear"/>
        </w:rPr>
        <w:t xml:space="preserve">personal </w:t>
      </w:r>
      <w:r>
        <w:rPr>
          <w:rFonts w:ascii="Calibri" w:hAnsi="Calibri" w:cs="Calibri" w:eastAsia="Calibri"/>
          <w:color w:val="auto"/>
          <w:spacing w:val="0"/>
          <w:position w:val="0"/>
          <w:sz w:val="20"/>
          <w:shd w:fill="auto" w:val="clear"/>
        </w:rPr>
        <w:t xml:space="preserve">taxes so </w:t>
      </w:r>
      <w:r>
        <w:rPr>
          <w:rFonts w:ascii="Calibri" w:hAnsi="Calibri" w:cs="Calibri" w:eastAsia="Calibri"/>
          <w:color w:val="auto"/>
          <w:spacing w:val="-3"/>
          <w:position w:val="0"/>
          <w:sz w:val="20"/>
          <w:shd w:fill="auto" w:val="clear"/>
        </w:rPr>
        <w:t xml:space="preserve">that incidence </w:t>
      </w:r>
      <w:r>
        <w:rPr>
          <w:rFonts w:ascii="Calibri" w:hAnsi="Calibri" w:cs="Calibri" w:eastAsia="Calibri"/>
          <w:color w:val="auto"/>
          <w:spacing w:val="0"/>
          <w:position w:val="0"/>
          <w:sz w:val="20"/>
          <w:shd w:fill="auto" w:val="clear"/>
        </w:rPr>
        <w:t xml:space="preserve">is more </w:t>
      </w:r>
      <w:r>
        <w:rPr>
          <w:rFonts w:ascii="Calibri" w:hAnsi="Calibri" w:cs="Calibri" w:eastAsia="Calibri"/>
          <w:color w:val="auto"/>
          <w:spacing w:val="-3"/>
          <w:position w:val="0"/>
          <w:sz w:val="20"/>
          <w:shd w:fill="auto" w:val="clear"/>
        </w:rPr>
        <w:t xml:space="preserve">certain. </w:t>
      </w:r>
      <w:r>
        <w:rPr>
          <w:rFonts w:ascii="Calibri" w:hAnsi="Calibri" w:cs="Calibri" w:eastAsia="Calibri"/>
          <w:color w:val="auto"/>
          <w:spacing w:val="0"/>
          <w:position w:val="0"/>
          <w:sz w:val="20"/>
          <w:shd w:fill="auto" w:val="clear"/>
        </w:rPr>
        <w:t xml:space="preserve">If it is </w:t>
      </w:r>
      <w:r>
        <w:rPr>
          <w:rFonts w:ascii="Calibri" w:hAnsi="Calibri" w:cs="Calibri" w:eastAsia="Calibri"/>
          <w:color w:val="auto"/>
          <w:spacing w:val="-3"/>
          <w:position w:val="0"/>
          <w:sz w:val="20"/>
          <w:shd w:fill="auto" w:val="clear"/>
        </w:rPr>
        <w:t xml:space="preserve">shifted </w:t>
      </w:r>
      <w:r>
        <w:rPr>
          <w:rFonts w:ascii="Calibri" w:hAnsi="Calibri" w:cs="Calibri" w:eastAsia="Calibri"/>
          <w:color w:val="auto"/>
          <w:spacing w:val="0"/>
          <w:position w:val="0"/>
          <w:sz w:val="20"/>
          <w:shd w:fill="auto" w:val="clear"/>
        </w:rPr>
        <w:t xml:space="preserve">to </w:t>
      </w:r>
      <w:r>
        <w:rPr>
          <w:rFonts w:ascii="Calibri" w:hAnsi="Calibri" w:cs="Calibri" w:eastAsia="Calibri"/>
          <w:color w:val="auto"/>
          <w:spacing w:val="-3"/>
          <w:position w:val="0"/>
          <w:sz w:val="20"/>
          <w:shd w:fill="auto" w:val="clear"/>
        </w:rPr>
        <w:t xml:space="preserve">shareholders </w:t>
      </w:r>
      <w:r>
        <w:rPr>
          <w:rFonts w:ascii="Calibri" w:hAnsi="Calibri" w:cs="Calibri" w:eastAsia="Calibri"/>
          <w:color w:val="auto"/>
          <w:spacing w:val="0"/>
          <w:position w:val="0"/>
          <w:sz w:val="20"/>
          <w:shd w:fill="auto" w:val="clear"/>
        </w:rPr>
        <w:t xml:space="preserve">or </w:t>
      </w:r>
      <w:r>
        <w:rPr>
          <w:rFonts w:ascii="Calibri" w:hAnsi="Calibri" w:cs="Calibri" w:eastAsia="Calibri"/>
          <w:color w:val="auto"/>
          <w:spacing w:val="-3"/>
          <w:position w:val="0"/>
          <w:sz w:val="20"/>
          <w:shd w:fill="auto" w:val="clear"/>
        </w:rPr>
        <w:t xml:space="preserve">employees, </w:t>
      </w:r>
      <w:r>
        <w:rPr>
          <w:rFonts w:ascii="Calibri" w:hAnsi="Calibri" w:cs="Calibri" w:eastAsia="Calibri"/>
          <w:color w:val="auto"/>
          <w:spacing w:val="0"/>
          <w:position w:val="0"/>
          <w:sz w:val="20"/>
          <w:shd w:fill="auto" w:val="clear"/>
        </w:rPr>
        <w:t xml:space="preserve">then it </w:t>
      </w:r>
      <w:r>
        <w:rPr>
          <w:rFonts w:ascii="Calibri" w:hAnsi="Calibri" w:cs="Calibri" w:eastAsia="Calibri"/>
          <w:color w:val="auto"/>
          <w:spacing w:val="-3"/>
          <w:position w:val="0"/>
          <w:sz w:val="20"/>
          <w:shd w:fill="auto" w:val="clear"/>
        </w:rPr>
        <w:t xml:space="preserve">would </w:t>
      </w:r>
      <w:r>
        <w:rPr>
          <w:rFonts w:ascii="Calibri" w:hAnsi="Calibri" w:cs="Calibri" w:eastAsia="Calibri"/>
          <w:color w:val="auto"/>
          <w:spacing w:val="0"/>
          <w:position w:val="0"/>
          <w:sz w:val="20"/>
          <w:shd w:fill="auto" w:val="clear"/>
        </w:rPr>
        <w:t xml:space="preserve">be </w:t>
      </w:r>
      <w:r>
        <w:rPr>
          <w:rFonts w:ascii="Calibri" w:hAnsi="Calibri" w:cs="Calibri" w:eastAsia="Calibri"/>
          <w:color w:val="auto"/>
          <w:spacing w:val="-3"/>
          <w:position w:val="0"/>
          <w:sz w:val="20"/>
          <w:shd w:fill="auto" w:val="clear"/>
        </w:rPr>
        <w:t xml:space="preserve">non-neutral </w:t>
      </w:r>
      <w:r>
        <w:rPr>
          <w:rFonts w:ascii="Calibri" w:hAnsi="Calibri" w:cs="Calibri" w:eastAsia="Calibri"/>
          <w:color w:val="auto"/>
          <w:spacing w:val="0"/>
          <w:position w:val="0"/>
          <w:sz w:val="20"/>
          <w:shd w:fill="auto" w:val="clear"/>
        </w:rPr>
        <w:t xml:space="preserve">as it </w:t>
      </w:r>
      <w:r>
        <w:rPr>
          <w:rFonts w:ascii="Calibri" w:hAnsi="Calibri" w:cs="Calibri" w:eastAsia="Calibri"/>
          <w:color w:val="auto"/>
          <w:spacing w:val="-3"/>
          <w:position w:val="0"/>
          <w:sz w:val="20"/>
          <w:shd w:fill="auto" w:val="clear"/>
        </w:rPr>
        <w:t xml:space="preserve">could </w:t>
      </w:r>
      <w:r>
        <w:rPr>
          <w:rFonts w:ascii="Calibri" w:hAnsi="Calibri" w:cs="Calibri" w:eastAsia="Calibri"/>
          <w:color w:val="auto"/>
          <w:spacing w:val="0"/>
          <w:position w:val="0"/>
          <w:sz w:val="20"/>
          <w:shd w:fill="auto" w:val="clear"/>
        </w:rPr>
        <w:t xml:space="preserve">affect </w:t>
      </w:r>
      <w:r>
        <w:rPr>
          <w:rFonts w:ascii="Calibri" w:hAnsi="Calibri" w:cs="Calibri" w:eastAsia="Calibri"/>
          <w:color w:val="auto"/>
          <w:spacing w:val="-3"/>
          <w:position w:val="0"/>
          <w:sz w:val="20"/>
          <w:shd w:fill="auto" w:val="clear"/>
        </w:rPr>
        <w:t xml:space="preserve">investment decision making </w:t>
      </w:r>
      <w:r>
        <w:rPr>
          <w:rFonts w:ascii="Calibri" w:hAnsi="Calibri" w:cs="Calibri" w:eastAsia="Calibri"/>
          <w:color w:val="auto"/>
          <w:spacing w:val="0"/>
          <w:position w:val="0"/>
          <w:sz w:val="20"/>
          <w:shd w:fill="auto" w:val="clear"/>
        </w:rPr>
        <w:t xml:space="preserve">and </w:t>
      </w:r>
      <w:r>
        <w:rPr>
          <w:rFonts w:ascii="Calibri" w:hAnsi="Calibri" w:cs="Calibri" w:eastAsia="Calibri"/>
          <w:color w:val="auto"/>
          <w:spacing w:val="-3"/>
          <w:position w:val="0"/>
          <w:sz w:val="20"/>
          <w:shd w:fill="auto" w:val="clear"/>
        </w:rPr>
        <w:t xml:space="preserve">willingness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work.</w:t>
      </w:r>
    </w:p>
    <w:p>
      <w:pPr>
        <w:spacing w:before="2" w:after="0" w:line="240"/>
        <w:ind w:right="0" w:left="0" w:firstLine="0"/>
        <w:jc w:val="left"/>
        <w:rPr>
          <w:rFonts w:ascii="Calibri" w:hAnsi="Calibri" w:cs="Calibri" w:eastAsia="Calibri"/>
          <w:color w:val="auto"/>
          <w:spacing w:val="0"/>
          <w:position w:val="0"/>
          <w:sz w:val="20"/>
          <w:shd w:fill="auto" w:val="clear"/>
        </w:rPr>
      </w:pPr>
    </w:p>
    <w:p>
      <w:pPr>
        <w:numPr>
          <w:ilvl w:val="0"/>
          <w:numId w:val="72"/>
        </w:numPr>
        <w:tabs>
          <w:tab w:val="left" w:pos="620" w:leader="none"/>
        </w:tabs>
        <w:spacing w:before="0" w:after="0" w:line="259"/>
        <w:ind w:right="572" w:left="619" w:hanging="359"/>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Head Tax </w:t>
      </w:r>
      <w:r>
        <w:rPr>
          <w:rFonts w:ascii="Calibri" w:hAnsi="Calibri" w:cs="Calibri" w:eastAsia="Calibri"/>
          <w:color w:val="auto"/>
          <w:spacing w:val="0"/>
          <w:position w:val="0"/>
          <w:sz w:val="20"/>
          <w:shd w:fill="auto" w:val="clear"/>
        </w:rPr>
        <w:t xml:space="preserve">A head tax is neutral as it does not affect economic choices. However, it is vertically inequitable, based on the ability to pay concept of equity, as all taxpayers, regardless of their income</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levels,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are</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taxed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same.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head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tax</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is</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very</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inelastic.</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This</w:t>
      </w:r>
      <w:r>
        <w:rPr>
          <w:rFonts w:ascii="Calibri" w:hAnsi="Calibri" w:cs="Calibri" w:eastAsia="Calibri"/>
          <w:color w:val="auto"/>
          <w:spacing w:val="-2"/>
          <w:position w:val="0"/>
          <w:sz w:val="20"/>
          <w:shd w:fill="auto" w:val="clear"/>
        </w:rPr>
        <w:t xml:space="preserve"> </w:t>
      </w:r>
      <w:r>
        <w:rPr>
          <w:rFonts w:ascii="Calibri" w:hAnsi="Calibri" w:cs="Calibri" w:eastAsia="Calibri"/>
          <w:color w:val="auto"/>
          <w:spacing w:val="0"/>
          <w:position w:val="0"/>
          <w:sz w:val="20"/>
          <w:shd w:fill="auto" w:val="clear"/>
        </w:rPr>
        <w:t xml:space="preserve">tax</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serves</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objectives of certainty, simplicity, and ease of compliance. It could promote stability in the</w:t>
      </w:r>
      <w:r>
        <w:rPr>
          <w:rFonts w:ascii="Calibri" w:hAnsi="Calibri" w:cs="Calibri" w:eastAsia="Calibri"/>
          <w:color w:val="auto"/>
          <w:spacing w:val="-28"/>
          <w:position w:val="0"/>
          <w:sz w:val="20"/>
          <w:shd w:fill="auto" w:val="clear"/>
        </w:rPr>
        <w:t xml:space="preserve"> </w:t>
      </w:r>
      <w:r>
        <w:rPr>
          <w:rFonts w:ascii="Calibri" w:hAnsi="Calibri" w:cs="Calibri" w:eastAsia="Calibri"/>
          <w:color w:val="auto"/>
          <w:spacing w:val="0"/>
          <w:position w:val="0"/>
          <w:sz w:val="20"/>
          <w:shd w:fill="auto" w:val="clear"/>
        </w:rPr>
        <w:t xml:space="preserve">economy.</w:t>
      </w:r>
    </w:p>
    <w:p>
      <w:pPr>
        <w:spacing w:before="0" w:after="0" w:line="259"/>
        <w:ind w:right="0" w:left="0" w:firstLine="0"/>
        <w:jc w:val="both"/>
        <w:rPr>
          <w:rFonts w:ascii="Calibri" w:hAnsi="Calibri" w:cs="Calibri" w:eastAsia="Calibri"/>
          <w:color w:val="auto"/>
          <w:spacing w:val="0"/>
          <w:position w:val="0"/>
          <w:sz w:val="20"/>
          <w:shd w:fill="auto" w:val="clear"/>
        </w:rPr>
      </w:pPr>
    </w:p>
    <w:p>
      <w:pPr>
        <w:spacing w:before="6" w:after="0" w:line="240"/>
        <w:ind w:right="0" w:left="0" w:firstLine="0"/>
        <w:jc w:val="left"/>
        <w:rPr>
          <w:rFonts w:ascii="Calibri" w:hAnsi="Calibri" w:cs="Calibri" w:eastAsia="Calibri"/>
          <w:color w:val="auto"/>
          <w:spacing w:val="0"/>
          <w:position w:val="0"/>
          <w:sz w:val="17"/>
          <w:shd w:fill="auto" w:val="clear"/>
        </w:rPr>
      </w:pPr>
    </w:p>
    <w:p>
      <w:pPr>
        <w:spacing w:before="101" w:after="0" w:line="240"/>
        <w:ind w:right="0" w:left="26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10"/>
          <w:position w:val="0"/>
          <w:sz w:val="28"/>
          <w:shd w:fill="auto" w:val="clear"/>
        </w:rPr>
        <w:t xml:space="preserve">Solution </w:t>
      </w:r>
      <w:r>
        <w:rPr>
          <w:rFonts w:ascii="Calibri" w:hAnsi="Calibri" w:cs="Calibri" w:eastAsia="Calibri"/>
          <w:b/>
          <w:color w:val="auto"/>
          <w:spacing w:val="6"/>
          <w:position w:val="0"/>
          <w:sz w:val="28"/>
          <w:shd w:fill="auto" w:val="clear"/>
        </w:rPr>
        <w:t xml:space="preserve">to </w:t>
      </w:r>
      <w:r>
        <w:rPr>
          <w:rFonts w:ascii="Calibri" w:hAnsi="Calibri" w:cs="Calibri" w:eastAsia="Calibri"/>
          <w:b/>
          <w:color w:val="auto"/>
          <w:spacing w:val="10"/>
          <w:position w:val="0"/>
          <w:sz w:val="28"/>
          <w:shd w:fill="auto" w:val="clear"/>
        </w:rPr>
        <w:t xml:space="preserve">Assignment Problem</w:t>
      </w:r>
      <w:r>
        <w:rPr>
          <w:rFonts w:ascii="Calibri" w:hAnsi="Calibri" w:cs="Calibri" w:eastAsia="Calibri"/>
          <w:b/>
          <w:color w:val="auto"/>
          <w:spacing w:val="70"/>
          <w:position w:val="0"/>
          <w:sz w:val="28"/>
          <w:shd w:fill="auto" w:val="clear"/>
        </w:rPr>
        <w:t xml:space="preserve"> </w:t>
      </w:r>
      <w:r>
        <w:rPr>
          <w:rFonts w:ascii="Calibri" w:hAnsi="Calibri" w:cs="Calibri" w:eastAsia="Calibri"/>
          <w:b/>
          <w:color w:val="auto"/>
          <w:spacing w:val="9"/>
          <w:position w:val="0"/>
          <w:sz w:val="28"/>
          <w:shd w:fill="auto" w:val="clear"/>
        </w:rPr>
        <w:t xml:space="preserve">One-</w:t>
      </w:r>
      <w:r>
        <w:rPr>
          <w:rFonts w:ascii="Calibri" w:hAnsi="Calibri" w:cs="Calibri" w:eastAsia="Calibri"/>
          <w:b/>
          <w:color w:val="auto"/>
          <w:spacing w:val="9"/>
          <w:position w:val="0"/>
          <w:sz w:val="28"/>
          <w:shd w:fill="auto" w:val="clear"/>
        </w:rPr>
        <w:t xml:space="preserve">4</w:t>
      </w:r>
    </w:p>
    <w:p>
      <w:pPr>
        <w:spacing w:before="6" w:after="0" w:line="240"/>
        <w:ind w:right="0" w:left="0" w:firstLine="0"/>
        <w:jc w:val="left"/>
        <w:rPr>
          <w:rFonts w:ascii="Calibri" w:hAnsi="Calibri" w:cs="Calibri" w:eastAsia="Calibri"/>
          <w:b/>
          <w:color w:val="auto"/>
          <w:spacing w:val="0"/>
          <w:position w:val="0"/>
          <w:sz w:val="10"/>
          <w:shd w:fill="auto" w:val="clear"/>
        </w:rPr>
      </w:pPr>
    </w:p>
    <w:p>
      <w:pPr>
        <w:spacing w:before="98" w:after="0" w:line="259"/>
        <w:ind w:right="767" w:left="260" w:firstLine="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While there is not one </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correct</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Calibri" w:hAnsi="Calibri" w:cs="Calibri" w:eastAsia="Calibri"/>
          <w:color w:val="auto"/>
          <w:spacing w:val="0"/>
          <w:position w:val="0"/>
          <w:sz w:val="20"/>
          <w:shd w:fill="auto" w:val="clear"/>
        </w:rPr>
        <w:t xml:space="preserve">solution to this problem, the following solution contains comments on each of the listed qualitative characteristics.</w:t>
      </w:r>
    </w:p>
    <w:p>
      <w:pPr>
        <w:spacing w:before="2"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3"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Equity Or Fairness </w:t>
      </w:r>
      <w:r>
        <w:rPr>
          <w:rFonts w:ascii="Calibri" w:hAnsi="Calibri" w:cs="Calibri" w:eastAsia="Calibri"/>
          <w:color w:val="auto"/>
          <w:spacing w:val="0"/>
          <w:position w:val="0"/>
          <w:sz w:val="20"/>
          <w:shd w:fill="auto" w:val="clear"/>
        </w:rPr>
        <w:t xml:space="preserve">The toll is clearly regressive in nature in that it is assessed almost exclusively on lower-income individuals. In general, regressive taxes are viewed as being less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fair.</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While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toll</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has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horizontal</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equity</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(individuals</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with</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same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Taxable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Income</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would pay the same amounts), it lacks vertical equity (the higher-income residents of the island would not normally be subject to the</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tolls).</w:t>
      </w:r>
    </w:p>
    <w:p>
      <w:pPr>
        <w:spacing w:before="10" w:after="0" w:line="240"/>
        <w:ind w:right="0" w:left="0" w:firstLine="0"/>
        <w:jc w:val="left"/>
        <w:rPr>
          <w:rFonts w:ascii="Calibri" w:hAnsi="Calibri" w:cs="Calibri" w:eastAsia="Calibri"/>
          <w:color w:val="auto"/>
          <w:spacing w:val="0"/>
          <w:position w:val="0"/>
          <w:sz w:val="20"/>
          <w:shd w:fill="auto" w:val="clear"/>
        </w:rPr>
      </w:pPr>
    </w:p>
    <w:p>
      <w:pPr>
        <w:spacing w:before="0" w:after="0" w:line="259"/>
        <w:ind w:right="933" w:left="619" w:hanging="1"/>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Neutrality</w:t>
      </w:r>
      <w:r>
        <w:rPr>
          <w:rFonts w:ascii="Calibri" w:hAnsi="Calibri" w:cs="Calibri" w:eastAsia="Calibri"/>
          <w:b/>
          <w:color w:val="auto"/>
          <w:spacing w:val="50"/>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concept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neutrality</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calls</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for</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tax</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system</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that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interferes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as</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little</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as</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possible with</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decision</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making.</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toll</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may</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influence</w:t>
      </w:r>
      <w:r>
        <w:rPr>
          <w:rFonts w:ascii="Calibri" w:hAnsi="Calibri" w:cs="Calibri" w:eastAsia="Calibri"/>
          <w:color w:val="auto"/>
          <w:spacing w:val="-18"/>
          <w:position w:val="0"/>
          <w:sz w:val="20"/>
          <w:shd w:fill="auto" w:val="clear"/>
        </w:rPr>
        <w:t xml:space="preserve"> </w:t>
      </w:r>
      <w:r>
        <w:rPr>
          <w:rFonts w:ascii="Calibri" w:hAnsi="Calibri" w:cs="Calibri" w:eastAsia="Calibri"/>
          <w:color w:val="auto"/>
          <w:spacing w:val="0"/>
          <w:position w:val="0"/>
          <w:sz w:val="20"/>
          <w:shd w:fill="auto" w:val="clear"/>
        </w:rPr>
        <w:t xml:space="preserve">employment</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decisions.</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If</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non-residents</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have off-island employment opportunities, they may choose not to work on the</w:t>
      </w:r>
      <w:r>
        <w:rPr>
          <w:rFonts w:ascii="Calibri" w:hAnsi="Calibri" w:cs="Calibri" w:eastAsia="Calibri"/>
          <w:color w:val="auto"/>
          <w:spacing w:val="-19"/>
          <w:position w:val="0"/>
          <w:sz w:val="20"/>
          <w:shd w:fill="auto" w:val="clear"/>
        </w:rPr>
        <w:t xml:space="preserve"> </w:t>
      </w:r>
      <w:r>
        <w:rPr>
          <w:rFonts w:ascii="Calibri" w:hAnsi="Calibri" w:cs="Calibri" w:eastAsia="Calibri"/>
          <w:color w:val="auto"/>
          <w:spacing w:val="0"/>
          <w:position w:val="0"/>
          <w:sz w:val="20"/>
          <w:shd w:fill="auto" w:val="clear"/>
        </w:rPr>
        <w:t xml:space="preserve">island.</w:t>
      </w:r>
    </w:p>
    <w:p>
      <w:pPr>
        <w:spacing w:before="10" w:after="0" w:line="240"/>
        <w:ind w:right="0" w:left="0" w:firstLine="0"/>
        <w:jc w:val="left"/>
        <w:rPr>
          <w:rFonts w:ascii="Calibri" w:hAnsi="Calibri" w:cs="Calibri" w:eastAsia="Calibri"/>
          <w:color w:val="auto"/>
          <w:spacing w:val="0"/>
          <w:position w:val="0"/>
          <w:sz w:val="20"/>
          <w:shd w:fill="auto" w:val="clear"/>
        </w:rPr>
      </w:pPr>
    </w:p>
    <w:p>
      <w:pPr>
        <w:spacing w:before="0" w:after="0" w:line="259"/>
        <w:ind w:right="932"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Adequacy </w:t>
      </w:r>
      <w:r>
        <w:rPr>
          <w:rFonts w:ascii="Calibri" w:hAnsi="Calibri" w:cs="Calibri" w:eastAsia="Calibri"/>
          <w:color w:val="auto"/>
          <w:spacing w:val="0"/>
          <w:position w:val="0"/>
          <w:sz w:val="20"/>
          <w:shd w:fill="auto" w:val="clear"/>
        </w:rPr>
        <w:t xml:space="preserve">While we do not have any information on this, it would be safe to assume that the</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toll</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was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established</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at</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level</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that</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would</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be</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adequate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for</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funding</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requirements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related to the</w:t>
      </w:r>
      <w:r>
        <w:rPr>
          <w:rFonts w:ascii="Calibri" w:hAnsi="Calibri" w:cs="Calibri" w:eastAsia="Calibri"/>
          <w:color w:val="auto"/>
          <w:spacing w:val="-3"/>
          <w:position w:val="0"/>
          <w:sz w:val="20"/>
          <w:shd w:fill="auto" w:val="clear"/>
        </w:rPr>
        <w:t xml:space="preserve"> </w:t>
      </w:r>
      <w:r>
        <w:rPr>
          <w:rFonts w:ascii="Calibri" w:hAnsi="Calibri" w:cs="Calibri" w:eastAsia="Calibri"/>
          <w:color w:val="auto"/>
          <w:spacing w:val="0"/>
          <w:position w:val="0"/>
          <w:sz w:val="20"/>
          <w:shd w:fill="auto" w:val="clear"/>
        </w:rPr>
        <w:t xml:space="preserve">bridge.</w:t>
      </w:r>
    </w:p>
    <w:p>
      <w:pPr>
        <w:spacing w:before="2"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4"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Elasticity </w:t>
      </w:r>
      <w:r>
        <w:rPr>
          <w:rFonts w:ascii="Calibri" w:hAnsi="Calibri" w:cs="Calibri" w:eastAsia="Calibri"/>
          <w:color w:val="auto"/>
          <w:spacing w:val="0"/>
          <w:position w:val="0"/>
          <w:sz w:val="20"/>
          <w:shd w:fill="auto" w:val="clear"/>
        </w:rPr>
        <w:t xml:space="preserve">Tax revenues should be capable of being adjusted to meet changes in economic conditions, without necessitating tax rate changes. It is not clear from the problem whether economic conditions would influence the number of individuals who work on the island and pay the toll.</w:t>
      </w:r>
    </w:p>
    <w:p>
      <w:pPr>
        <w:spacing w:before="0"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2"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Flexibility </w:t>
      </w:r>
      <w:r>
        <w:rPr>
          <w:rFonts w:ascii="Calibri" w:hAnsi="Calibri" w:cs="Calibri" w:eastAsia="Calibri"/>
          <w:color w:val="auto"/>
          <w:spacing w:val="0"/>
          <w:position w:val="0"/>
          <w:sz w:val="20"/>
          <w:shd w:fill="auto" w:val="clear"/>
        </w:rPr>
        <w:t xml:space="preserve">This refers to the ease with which the tax system can be adjusted to meet changing economic or social conditions. The tolls can be easily adjusted and therefore get high marks for this characteristic.</w:t>
      </w:r>
    </w:p>
    <w:p>
      <w:pPr>
        <w:spacing w:before="1"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4"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Simplicity And Ease of Compliance </w:t>
      </w:r>
      <w:r>
        <w:rPr>
          <w:rFonts w:ascii="Calibri" w:hAnsi="Calibri" w:cs="Calibri" w:eastAsia="Calibri"/>
          <w:color w:val="auto"/>
          <w:spacing w:val="0"/>
          <w:position w:val="0"/>
          <w:sz w:val="20"/>
          <w:shd w:fill="auto" w:val="clear"/>
        </w:rPr>
        <w:t xml:space="preserve">A good tax system is easy to comply with and does not present significant administrative problems for the people enforcing the system. The toll would receive high marks in this regard.</w:t>
      </w:r>
    </w:p>
    <w:p>
      <w:pPr>
        <w:spacing w:before="1"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5"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Certainty </w:t>
      </w:r>
      <w:r>
        <w:rPr>
          <w:rFonts w:ascii="Calibri" w:hAnsi="Calibri" w:cs="Calibri" w:eastAsia="Calibri"/>
          <w:color w:val="auto"/>
          <w:spacing w:val="0"/>
          <w:position w:val="0"/>
          <w:sz w:val="20"/>
          <w:shd w:fill="auto" w:val="clear"/>
        </w:rPr>
        <w:t xml:space="preserve">Individual taxpayers should know how much tax they have to pay, the basis for payments, and the due date. There is no uncertainty associated with a clearly posted toll rate.</w:t>
      </w:r>
    </w:p>
    <w:p>
      <w:pPr>
        <w:spacing w:before="2"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4"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Balance Between Sectors </w:t>
      </w:r>
      <w:r>
        <w:rPr>
          <w:rFonts w:ascii="Calibri" w:hAnsi="Calibri" w:cs="Calibri" w:eastAsia="Calibri"/>
          <w:color w:val="auto"/>
          <w:spacing w:val="0"/>
          <w:position w:val="0"/>
          <w:sz w:val="20"/>
          <w:shd w:fill="auto" w:val="clear"/>
        </w:rPr>
        <w:t xml:space="preserve">A good tax system should not be overly reliant on either corporate or individual taxation. The toll is, of course, totally reliant on the taxation of individuals.</w:t>
      </w:r>
    </w:p>
    <w:p>
      <w:pPr>
        <w:spacing w:before="2" w:after="0" w:line="240"/>
        <w:ind w:right="0" w:left="0" w:firstLine="0"/>
        <w:jc w:val="left"/>
        <w:rPr>
          <w:rFonts w:ascii="Calibri" w:hAnsi="Calibri" w:cs="Calibri" w:eastAsia="Calibri"/>
          <w:color w:val="auto"/>
          <w:spacing w:val="0"/>
          <w:position w:val="0"/>
          <w:sz w:val="21"/>
          <w:shd w:fill="auto" w:val="clear"/>
        </w:rPr>
      </w:pPr>
    </w:p>
    <w:p>
      <w:pPr>
        <w:spacing w:before="0" w:after="0" w:line="259"/>
        <w:ind w:right="932" w:left="618" w:firstLine="0"/>
        <w:jc w:val="both"/>
        <w:rPr>
          <w:rFonts w:ascii="Calibri" w:hAnsi="Calibri" w:cs="Calibri" w:eastAsia="Calibri"/>
          <w:color w:val="auto"/>
          <w:spacing w:val="0"/>
          <w:position w:val="0"/>
          <w:sz w:val="20"/>
          <w:shd w:fill="auto" w:val="clear"/>
        </w:rPr>
      </w:pPr>
      <w:r>
        <w:rPr>
          <w:rFonts w:ascii="Calibri" w:hAnsi="Calibri" w:cs="Calibri" w:eastAsia="Calibri"/>
          <w:b/>
          <w:color w:val="auto"/>
          <w:spacing w:val="0"/>
          <w:position w:val="0"/>
          <w:sz w:val="20"/>
          <w:shd w:fill="auto" w:val="clear"/>
        </w:rPr>
        <w:t xml:space="preserve">International Competitiveness </w:t>
      </w:r>
      <w:r>
        <w:rPr>
          <w:rFonts w:ascii="Calibri" w:hAnsi="Calibri" w:cs="Calibri" w:eastAsia="Calibri"/>
          <w:color w:val="auto"/>
          <w:spacing w:val="0"/>
          <w:position w:val="0"/>
          <w:sz w:val="20"/>
          <w:shd w:fill="auto" w:val="clear"/>
        </w:rPr>
        <w:t xml:space="preserve">If a country</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tax system has rates that are out of line with those in comparable countries, the result will be an outflow of both business and skilled individuals to those countries that have more favourable tax rates. Although international competitiveness</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would</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not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appear</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be</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an</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issue</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with</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toll,</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it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would</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affect</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ability</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the city to maintain and attract</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workers.</w:t>
      </w:r>
    </w:p>
    <w:p>
      <w:pPr>
        <w:spacing w:before="0" w:after="0" w:line="259"/>
        <w:ind w:right="0" w:left="0" w:firstLine="0"/>
        <w:jc w:val="both"/>
        <w:rPr>
          <w:rFonts w:ascii="Calibri" w:hAnsi="Calibri" w:cs="Calibri" w:eastAsia="Calibri"/>
          <w:color w:val="auto"/>
          <w:spacing w:val="0"/>
          <w:position w:val="0"/>
          <w:sz w:val="22"/>
          <w:shd w:fill="auto" w:val="clear"/>
        </w:rPr>
      </w:pPr>
    </w:p>
    <w:p>
      <w:pPr>
        <w:spacing w:before="6" w:after="0" w:line="240"/>
        <w:ind w:right="0" w:left="0" w:firstLine="0"/>
        <w:jc w:val="left"/>
        <w:rPr>
          <w:rFonts w:ascii="Calibri" w:hAnsi="Calibri" w:cs="Calibri" w:eastAsia="Calibri"/>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Calibri" w:hAnsi="Calibri" w:cs="Calibri" w:eastAsia="Calibri"/>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5</w:t>
      </w:r>
    </w:p>
    <w:p>
      <w:pPr>
        <w:spacing w:before="2" w:after="0" w:line="240"/>
        <w:ind w:right="0" w:left="0" w:firstLine="0"/>
        <w:jc w:val="left"/>
        <w:rPr>
          <w:rFonts w:ascii="Arial" w:hAnsi="Arial" w:cs="Arial" w:eastAsia="Arial"/>
          <w:b/>
          <w:color w:val="auto"/>
          <w:spacing w:val="0"/>
          <w:position w:val="0"/>
          <w:sz w:val="10"/>
          <w:shd w:fill="auto" w:val="clear"/>
        </w:rPr>
      </w:pPr>
    </w:p>
    <w:p>
      <w:pPr>
        <w:spacing w:before="101" w:after="0" w:line="240"/>
        <w:ind w:right="0" w:left="224"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Solution According to Textbook</w:t>
      </w:r>
    </w:p>
    <w:p>
      <w:pPr>
        <w:spacing w:before="16" w:after="0" w:line="259"/>
        <w:ind w:right="573" w:left="223"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Mr. Valmont would be considered a part year resident and would only be assessed for Canadian income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taxes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worldwide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income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during</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portion</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year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prior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ceasing</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resident of</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96" w:after="0" w:line="259"/>
        <w:ind w:right="576" w:left="223"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S</w:t>
      </w:r>
      <w:r>
        <w:rPr>
          <w:rFonts w:ascii="Arial" w:hAnsi="Arial" w:cs="Arial" w:eastAsia="Arial"/>
          <w:color w:val="auto"/>
          <w:spacing w:val="0"/>
          <w:position w:val="0"/>
          <w:sz w:val="20"/>
          <w:shd w:fill="auto" w:val="clear"/>
        </w:rPr>
        <w:t xml:space="preserve">5</w:t>
      </w:r>
      <w:r>
        <w:rPr>
          <w:rFonts w:ascii="Arial" w:hAnsi="Arial" w:cs="Arial" w:eastAsia="Arial"/>
          <w:color w:val="auto"/>
          <w:spacing w:val="0"/>
          <w:position w:val="0"/>
          <w:sz w:val="20"/>
          <w:shd w:fill="auto" w:val="clear"/>
        </w:rPr>
        <w:t xml:space="preserve">-F</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-C</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indicates that, in general, the CRA will view an individual as becoming a non-resident on the latest of three dates:</w:t>
      </w:r>
    </w:p>
    <w:p>
      <w:pPr>
        <w:numPr>
          <w:ilvl w:val="0"/>
          <w:numId w:val="103"/>
        </w:numPr>
        <w:tabs>
          <w:tab w:val="left" w:pos="979" w:leader="none"/>
          <w:tab w:val="left" w:pos="980" w:leader="none"/>
        </w:tabs>
        <w:spacing w:before="84" w:after="0" w:line="240"/>
        <w:ind w:right="0" w:left="979" w:hanging="36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date the individual leaves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Canada.</w:t>
      </w:r>
    </w:p>
    <w:p>
      <w:pPr>
        <w:numPr>
          <w:ilvl w:val="0"/>
          <w:numId w:val="103"/>
        </w:numPr>
        <w:tabs>
          <w:tab w:val="left" w:pos="979" w:leader="none"/>
          <w:tab w:val="left" w:pos="980" w:leader="none"/>
        </w:tabs>
        <w:spacing w:before="0" w:after="0" w:line="240"/>
        <w:ind w:right="0" w:left="979" w:hanging="360"/>
        <w:jc w:val="left"/>
        <w:rPr>
          <w:rFonts w:ascii="Calibri" w:hAnsi="Calibri" w:cs="Calibri" w:eastAsia="Calibri"/>
          <w:color w:val="auto"/>
          <w:spacing w:val="0"/>
          <w:position w:val="0"/>
          <w:sz w:val="20"/>
          <w:shd w:fill="auto" w:val="clear"/>
        </w:rPr>
      </w:pPr>
      <w:r>
        <w:rPr>
          <w:rFonts w:ascii="Arial" w:hAnsi="Arial" w:cs="Arial" w:eastAsia="Arial"/>
          <w:color w:val="auto"/>
          <w:spacing w:val="0"/>
          <w:position w:val="0"/>
          <w:sz w:val="20"/>
          <w:shd w:fill="auto" w:val="clear"/>
        </w:rPr>
        <w:t xml:space="preserve">The date the individual</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spouse or common-law partner and dependants leave</w:t>
      </w:r>
      <w:r>
        <w:rPr>
          <w:rFonts w:ascii="Calibri" w:hAnsi="Calibri" w:cs="Calibri" w:eastAsia="Calibri"/>
          <w:color w:val="auto"/>
          <w:spacing w:val="-19"/>
          <w:position w:val="0"/>
          <w:sz w:val="20"/>
          <w:shd w:fill="auto" w:val="clear"/>
        </w:rPr>
        <w:t xml:space="preserve"> </w:t>
      </w:r>
      <w:r>
        <w:rPr>
          <w:rFonts w:ascii="Calibri" w:hAnsi="Calibri" w:cs="Calibri" w:eastAsia="Calibri"/>
          <w:color w:val="auto"/>
          <w:spacing w:val="0"/>
          <w:position w:val="0"/>
          <w:sz w:val="20"/>
          <w:shd w:fill="auto" w:val="clear"/>
        </w:rPr>
        <w:t xml:space="preserve">Canada.</w:t>
      </w:r>
    </w:p>
    <w:p>
      <w:pPr>
        <w:numPr>
          <w:ilvl w:val="0"/>
          <w:numId w:val="103"/>
        </w:numPr>
        <w:tabs>
          <w:tab w:val="left" w:pos="979" w:leader="none"/>
          <w:tab w:val="left" w:pos="980" w:leader="none"/>
        </w:tabs>
        <w:spacing w:before="0" w:after="0" w:line="240"/>
        <w:ind w:right="0" w:left="97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date the individual becomes a resident of another</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country.</w:t>
      </w:r>
    </w:p>
    <w:p>
      <w:pPr>
        <w:spacing w:before="97" w:after="0" w:line="259"/>
        <w:ind w:right="575" w:left="222" w:firstLine="0"/>
        <w:jc w:val="both"/>
        <w:rPr>
          <w:rFonts w:ascii="Arial" w:hAnsi="Arial" w:cs="Arial" w:eastAsia="Arial"/>
          <w:color w:val="auto"/>
          <w:spacing w:val="0"/>
          <w:position w:val="0"/>
          <w:sz w:val="20"/>
          <w:shd w:fill="auto" w:val="clear"/>
        </w:rPr>
      </w:pPr>
      <w:r>
        <w:rPr>
          <w:rFonts w:ascii="Calibri" w:hAnsi="Calibri" w:cs="Calibri" w:eastAsia="Calibri"/>
          <w:color w:val="auto"/>
          <w:spacing w:val="0"/>
          <w:position w:val="0"/>
          <w:sz w:val="20"/>
          <w:shd w:fill="auto" w:val="clear"/>
        </w:rPr>
        <w:t xml:space="preserve">While Mr. Valmont departed from Canada in May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he will be considered a Canadian resident until</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family</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departure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June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fact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family</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remained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lead to this conclusion. While not essential to this conclusion, the fact that he did not sell his Canadian residence until after that date would provide additional</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support.</w:t>
      </w:r>
    </w:p>
    <w:p>
      <w:pPr>
        <w:spacing w:before="96" w:after="0" w:line="259"/>
        <w:ind w:right="576" w:left="222"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His Canadian salary from January </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to May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would be subject to Canadian taxes. In addition, his U.S. salary for the period May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through June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will be subject, first to</w:t>
      </w:r>
    </w:p>
    <w:p>
      <w:pPr>
        <w:spacing w:before="1" w:after="0" w:line="259"/>
        <w:ind w:right="574" w:left="222"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U.S. taxes, and then subsequently to Canadian taxes. In calculating his Canadian taxes payable, he will receive a credit for the U.S. taxes that he has paid on this income. However, because Canadian tax rates at a given income level are usually higher than those that prevail in the U.S., it is likely that he will be required to pay some Canadian income taxes in addition to the U.S. taxes.</w:t>
      </w:r>
    </w:p>
    <w:p>
      <w:pPr>
        <w:spacing w:before="3"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24"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Note to Instructors</w:t>
      </w:r>
    </w:p>
    <w:p>
      <w:pPr>
        <w:spacing w:before="16" w:after="0" w:line="259"/>
        <w:ind w:right="573" w:left="223"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preceding solution reflects the content of the text with respect to departures from Canada and students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should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evaluated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basis.</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However,</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S</w:t>
      </w:r>
      <w:r>
        <w:rPr>
          <w:rFonts w:ascii="Arial" w:hAnsi="Arial" w:cs="Arial" w:eastAsia="Arial"/>
          <w:color w:val="auto"/>
          <w:spacing w:val="0"/>
          <w:position w:val="0"/>
          <w:sz w:val="20"/>
          <w:shd w:fill="auto" w:val="clear"/>
        </w:rPr>
        <w:t xml:space="preserve">5</w:t>
      </w:r>
      <w:r>
        <w:rPr>
          <w:rFonts w:ascii="Arial" w:hAnsi="Arial" w:cs="Arial" w:eastAsia="Arial"/>
          <w:color w:val="auto"/>
          <w:spacing w:val="0"/>
          <w:position w:val="0"/>
          <w:sz w:val="20"/>
          <w:shd w:fill="auto" w:val="clear"/>
        </w:rPr>
        <w:t xml:space="preserve">-F</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-C</w:t>
      </w:r>
      <w:r>
        <w:rPr>
          <w:rFonts w:ascii="Arial" w:hAnsi="Arial" w:cs="Arial" w:eastAsia="Arial"/>
          <w:color w:val="auto"/>
          <w:spacing w:val="0"/>
          <w:position w:val="0"/>
          <w:sz w:val="20"/>
          <w:shd w:fill="auto" w:val="clear"/>
        </w:rPr>
        <w:t xml:space="preserve">1</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qualifies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general</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departure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rules as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follows:</w:t>
      </w:r>
    </w:p>
    <w:p>
      <w:pPr>
        <w:spacing w:before="94" w:after="0" w:line="256"/>
        <w:ind w:right="495" w:left="236"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Paragraph </w:t>
      </w:r>
      <w:r>
        <w:rPr>
          <w:rFonts w:ascii="Arial" w:hAnsi="Arial" w:cs="Arial" w:eastAsia="Arial"/>
          <w:b/>
          <w:color w:val="auto"/>
          <w:spacing w:val="0"/>
          <w:position w:val="0"/>
          <w:sz w:val="20"/>
          <w:shd w:fill="auto" w:val="clear"/>
        </w:rPr>
        <w:t xml:space="preserve">1.22</w:t>
      </w:r>
      <w:r>
        <w:rPr>
          <w:rFonts w:ascii="Arial" w:hAnsi="Arial" w:cs="Arial" w:eastAsia="Arial"/>
          <w:b/>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An exception to this will occur where the individual was resident in another country prior</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entering</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leaving</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re-establish</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or</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her</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residence</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country.</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case, the individual will generally become a non-resident on the date he or she leaves Canada, even if, for example,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or</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her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spouse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or</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common-law</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partner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remains</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temporarily</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behind</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dispose of their dwelling place in Canada or so that their dependants may complete a school year already in progress.</w:t>
      </w:r>
    </w:p>
    <w:p>
      <w:pPr>
        <w:spacing w:before="93" w:after="0" w:line="259"/>
        <w:ind w:right="572" w:left="224"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On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assumption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Mr.</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Valmont</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U.S.</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prior</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working</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years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Canada, this  exception  would  mean  that  he  would   cease   to   be   a  resident  of  Canada  on   May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the date that he departs from</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98" w:after="0" w:line="259"/>
        <w:ind w:right="572" w:left="224"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textbook does not deal with the residency rules of countries other than Canada. Although this solution concludes that June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is the date residency is terminated in Canada, it is probable that the foreign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jurisdiction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U.S.)</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consider</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Mr.</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Valmont</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under</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their</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own</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rules</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effective May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th. In effect, the period between May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th and June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th would become a dual residency period. We would not expect students to come to this conclusion, but include this to illustrate the complexities of international issues 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taxation.</w:t>
      </w:r>
    </w:p>
    <w:p>
      <w:pPr>
        <w:spacing w:before="0" w:after="0" w:line="259"/>
        <w:ind w:right="0" w:left="0" w:firstLine="0"/>
        <w:jc w:val="both"/>
        <w:rPr>
          <w:rFonts w:ascii="Arial" w:hAnsi="Arial" w:cs="Arial" w:eastAsia="Arial"/>
          <w:color w:val="auto"/>
          <w:spacing w:val="0"/>
          <w:position w:val="0"/>
          <w:sz w:val="22"/>
          <w:shd w:fill="auto" w:val="clear"/>
        </w:rPr>
      </w:pPr>
    </w:p>
    <w:p>
      <w:pPr>
        <w:spacing w:before="6" w:after="0" w:line="240"/>
        <w:ind w:right="0" w:left="0" w:firstLine="0"/>
        <w:jc w:val="left"/>
        <w:rPr>
          <w:rFonts w:ascii="Arial" w:hAnsi="Arial" w:cs="Arial" w:eastAsia="Arial"/>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6</w:t>
      </w:r>
    </w:p>
    <w:p>
      <w:pPr>
        <w:spacing w:before="5" w:after="0" w:line="240"/>
        <w:ind w:right="0" w:left="0" w:firstLine="0"/>
        <w:jc w:val="left"/>
        <w:rPr>
          <w:rFonts w:ascii="Arial" w:hAnsi="Arial" w:cs="Arial" w:eastAsia="Arial"/>
          <w:b/>
          <w:color w:val="auto"/>
          <w:spacing w:val="0"/>
          <w:position w:val="0"/>
          <w:sz w:val="10"/>
          <w:shd w:fill="auto" w:val="clear"/>
        </w:rPr>
      </w:pPr>
    </w:p>
    <w:p>
      <w:pPr>
        <w:spacing w:before="101" w:after="0" w:line="259"/>
        <w:ind w:right="736" w:left="260"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Note</w:t>
      </w:r>
      <w:r>
        <w:rPr>
          <w:rFonts w:ascii="Arial" w:hAnsi="Arial" w:cs="Arial" w:eastAsia="Arial"/>
          <w:b/>
          <w:color w:val="auto"/>
          <w:spacing w:val="-15"/>
          <w:position w:val="0"/>
          <w:sz w:val="20"/>
          <w:shd w:fill="auto" w:val="clear"/>
        </w:rPr>
        <w:t xml:space="preserve"> </w:t>
      </w:r>
      <w:r>
        <w:rPr>
          <w:rFonts w:ascii="Arial" w:hAnsi="Arial" w:cs="Arial" w:eastAsia="Arial"/>
          <w:b/>
          <w:color w:val="auto"/>
          <w:spacing w:val="0"/>
          <w:position w:val="0"/>
          <w:sz w:val="20"/>
          <w:shd w:fill="auto" w:val="clear"/>
        </w:rPr>
        <w:t xml:space="preserve">To</w:t>
      </w:r>
      <w:r>
        <w:rPr>
          <w:rFonts w:ascii="Arial" w:hAnsi="Arial" w:cs="Arial" w:eastAsia="Arial"/>
          <w:b/>
          <w:color w:val="auto"/>
          <w:spacing w:val="-15"/>
          <w:position w:val="0"/>
          <w:sz w:val="20"/>
          <w:shd w:fill="auto" w:val="clear"/>
        </w:rPr>
        <w:t xml:space="preserve"> </w:t>
      </w:r>
      <w:r>
        <w:rPr>
          <w:rFonts w:ascii="Arial" w:hAnsi="Arial" w:cs="Arial" w:eastAsia="Arial"/>
          <w:b/>
          <w:color w:val="auto"/>
          <w:spacing w:val="0"/>
          <w:position w:val="0"/>
          <w:sz w:val="20"/>
          <w:shd w:fill="auto" w:val="clear"/>
        </w:rPr>
        <w:t xml:space="preserve">Instructors</w:t>
      </w:r>
      <w:r>
        <w:rPr>
          <w:rFonts w:ascii="Arial" w:hAnsi="Arial" w:cs="Arial" w:eastAsia="Arial"/>
          <w:b/>
          <w:color w:val="auto"/>
          <w:spacing w:val="54"/>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problem</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based</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Tax</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Court</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case,</w:t>
      </w:r>
      <w:r>
        <w:rPr>
          <w:rFonts w:ascii="Arial" w:hAnsi="Arial" w:cs="Arial" w:eastAsia="Arial"/>
          <w:color w:val="auto"/>
          <w:spacing w:val="-14"/>
          <w:position w:val="0"/>
          <w:sz w:val="20"/>
          <w:shd w:fill="auto" w:val="clear"/>
        </w:rPr>
        <w:t xml:space="preserve"> </w:t>
      </w:r>
      <w:r>
        <w:rPr>
          <w:rFonts w:ascii="Arial" w:hAnsi="Arial" w:cs="Arial" w:eastAsia="Arial"/>
          <w:i/>
          <w:color w:val="auto"/>
          <w:spacing w:val="0"/>
          <w:position w:val="0"/>
          <w:sz w:val="20"/>
          <w:shd w:fill="auto" w:val="clear"/>
        </w:rPr>
        <w:t xml:space="preserve">Hamel</w:t>
      </w:r>
      <w:r>
        <w:rPr>
          <w:rFonts w:ascii="Arial" w:hAnsi="Arial" w:cs="Arial" w:eastAsia="Arial"/>
          <w:i/>
          <w:color w:val="auto"/>
          <w:spacing w:val="-16"/>
          <w:position w:val="0"/>
          <w:sz w:val="20"/>
          <w:shd w:fill="auto" w:val="clear"/>
        </w:rPr>
        <w:t xml:space="preserve"> </w:t>
      </w:r>
      <w:r>
        <w:rPr>
          <w:rFonts w:ascii="Arial" w:hAnsi="Arial" w:cs="Arial" w:eastAsia="Arial"/>
          <w:i/>
          <w:color w:val="auto"/>
          <w:spacing w:val="0"/>
          <w:position w:val="0"/>
          <w:sz w:val="20"/>
          <w:shd w:fill="auto" w:val="clear"/>
        </w:rPr>
        <w:t xml:space="preserve">vs.</w:t>
      </w:r>
      <w:r>
        <w:rPr>
          <w:rFonts w:ascii="Arial" w:hAnsi="Arial" w:cs="Arial" w:eastAsia="Arial"/>
          <w:i/>
          <w:color w:val="auto"/>
          <w:spacing w:val="-15"/>
          <w:position w:val="0"/>
          <w:sz w:val="20"/>
          <w:shd w:fill="auto" w:val="clear"/>
        </w:rPr>
        <w:t xml:space="preserve"> </w:t>
      </w:r>
      <w:r>
        <w:rPr>
          <w:rFonts w:ascii="Arial" w:hAnsi="Arial" w:cs="Arial" w:eastAsia="Arial"/>
          <w:i/>
          <w:color w:val="auto"/>
          <w:spacing w:val="0"/>
          <w:position w:val="0"/>
          <w:sz w:val="20"/>
          <w:shd w:fill="auto" w:val="clear"/>
        </w:rPr>
        <w:t xml:space="preserve">The</w:t>
      </w:r>
      <w:r>
        <w:rPr>
          <w:rFonts w:ascii="Arial" w:hAnsi="Arial" w:cs="Arial" w:eastAsia="Arial"/>
          <w:i/>
          <w:color w:val="auto"/>
          <w:spacing w:val="-14"/>
          <w:position w:val="0"/>
          <w:sz w:val="20"/>
          <w:shd w:fill="auto" w:val="clear"/>
        </w:rPr>
        <w:t xml:space="preserve"> </w:t>
      </w:r>
      <w:r>
        <w:rPr>
          <w:rFonts w:ascii="Arial" w:hAnsi="Arial" w:cs="Arial" w:eastAsia="Arial"/>
          <w:i/>
          <w:color w:val="auto"/>
          <w:spacing w:val="0"/>
          <w:position w:val="0"/>
          <w:sz w:val="20"/>
          <w:shd w:fill="auto" w:val="clear"/>
        </w:rPr>
        <w:t xml:space="preserve">Queen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2012 </w:t>
      </w:r>
      <w:r>
        <w:rPr>
          <w:rFonts w:ascii="Arial" w:hAnsi="Arial" w:cs="Arial" w:eastAsia="Arial"/>
          <w:color w:val="auto"/>
          <w:spacing w:val="0"/>
          <w:position w:val="0"/>
          <w:sz w:val="20"/>
          <w:shd w:fill="auto" w:val="clear"/>
        </w:rPr>
        <w:t xml:space="preserve">DTC </w:t>
      </w:r>
      <w:r>
        <w:rPr>
          <w:rFonts w:ascii="Arial" w:hAnsi="Arial" w:cs="Arial" w:eastAsia="Arial"/>
          <w:color w:val="auto"/>
          <w:spacing w:val="0"/>
          <w:position w:val="0"/>
          <w:sz w:val="20"/>
          <w:shd w:fill="auto" w:val="clear"/>
        </w:rPr>
        <w:t xml:space="preserve">1004</w:t>
      </w:r>
      <w:r>
        <w:rPr>
          <w:rFonts w:ascii="Arial" w:hAnsi="Arial" w:cs="Arial" w:eastAsia="Arial"/>
          <w:color w:val="auto"/>
          <w:spacing w:val="0"/>
          <w:position w:val="0"/>
          <w:sz w:val="20"/>
          <w:shd w:fill="auto" w:val="clear"/>
        </w:rPr>
        <w:t xml:space="preserve">). The actual year in question is </w:t>
      </w:r>
      <w:r>
        <w:rPr>
          <w:rFonts w:ascii="Arial" w:hAnsi="Arial" w:cs="Arial" w:eastAsia="Arial"/>
          <w:color w:val="auto"/>
          <w:spacing w:val="0"/>
          <w:position w:val="0"/>
          <w:sz w:val="20"/>
          <w:shd w:fill="auto" w:val="clear"/>
        </w:rPr>
        <w:t xml:space="preserve">2007</w:t>
      </w:r>
      <w:r>
        <w:rPr>
          <w:rFonts w:ascii="Arial" w:hAnsi="Arial" w:cs="Arial" w:eastAsia="Arial"/>
          <w:color w:val="auto"/>
          <w:spacing w:val="0"/>
          <w:position w:val="0"/>
          <w:sz w:val="20"/>
          <w:shd w:fill="auto" w:val="clear"/>
        </w:rPr>
        <w:t xml:space="preserve">, with the judgment being rendered in </w:t>
      </w:r>
      <w:r>
        <w:rPr>
          <w:rFonts w:ascii="Arial" w:hAnsi="Arial" w:cs="Arial" w:eastAsia="Arial"/>
          <w:color w:val="auto"/>
          <w:spacing w:val="0"/>
          <w:position w:val="0"/>
          <w:sz w:val="20"/>
          <w:shd w:fill="auto" w:val="clear"/>
        </w:rPr>
        <w:t xml:space="preserve">2011</w:t>
      </w:r>
      <w:r>
        <w:rPr>
          <w:rFonts w:ascii="Arial" w:hAnsi="Arial" w:cs="Arial" w:eastAsia="Arial"/>
          <w:color w:val="auto"/>
          <w:spacing w:val="0"/>
          <w:position w:val="0"/>
          <w:sz w:val="20"/>
          <w:shd w:fill="auto" w:val="clear"/>
        </w:rPr>
        <w:t xml:space="preserve">. We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have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moved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dates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problem</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up</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by</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10</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years.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our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opinion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since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judgment was rendered, there have been no legislative or other changes that would alter the conclusions reached by Tax Court judge in this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case.</w:t>
      </w:r>
    </w:p>
    <w:p>
      <w:pPr>
        <w:spacing w:before="6" w:after="0" w:line="240"/>
        <w:ind w:right="0" w:left="0" w:firstLine="0"/>
        <w:jc w:val="left"/>
        <w:rPr>
          <w:rFonts w:ascii="Arial" w:hAnsi="Arial" w:cs="Arial" w:eastAsia="Arial"/>
          <w:color w:val="auto"/>
          <w:spacing w:val="0"/>
          <w:position w:val="0"/>
          <w:sz w:val="20"/>
          <w:shd w:fill="auto" w:val="clear"/>
        </w:rPr>
      </w:pPr>
    </w:p>
    <w:p>
      <w:pPr>
        <w:spacing w:before="1" w:after="0" w:line="240"/>
        <w:ind w:right="0" w:left="260"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Background</w:t>
      </w:r>
    </w:p>
    <w:p>
      <w:pPr>
        <w:spacing w:before="16" w:after="0" w:line="261"/>
        <w:ind w:right="734"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minister</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assessed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Mr.</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Hamel</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basis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giving</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up</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Canadian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residency</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January </w:t>
      </w:r>
      <w:r>
        <w:rPr>
          <w:rFonts w:ascii="Arial" w:hAnsi="Arial" w:cs="Arial" w:eastAsia="Arial"/>
          <w:color w:val="auto"/>
          <w:spacing w:val="0"/>
          <w:position w:val="0"/>
          <w:sz w:val="20"/>
          <w:shd w:fill="auto" w:val="clear"/>
        </w:rPr>
        <w:t xml:space="preserve">13</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2007 </w:t>
      </w:r>
      <w:r>
        <w:rPr>
          <w:rFonts w:ascii="Arial" w:hAnsi="Arial" w:cs="Arial" w:eastAsia="Arial"/>
          <w:color w:val="auto"/>
          <w:spacing w:val="0"/>
          <w:position w:val="0"/>
          <w:sz w:val="20"/>
          <w:shd w:fill="auto" w:val="clear"/>
        </w:rPr>
        <w:t xml:space="preserve">(the original date in the case). Mr. Hamel appealed to the Tax Court of Canada, which resulted in </w:t>
      </w:r>
      <w:r>
        <w:rPr>
          <w:rFonts w:ascii="Arial" w:hAnsi="Arial" w:cs="Arial" w:eastAsia="Arial"/>
          <w:i/>
          <w:color w:val="auto"/>
          <w:spacing w:val="0"/>
          <w:position w:val="0"/>
          <w:sz w:val="20"/>
          <w:shd w:fill="auto" w:val="clear"/>
        </w:rPr>
        <w:t xml:space="preserve">Hamel vs. The Queen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2012 </w:t>
      </w:r>
      <w:r>
        <w:rPr>
          <w:rFonts w:ascii="Arial" w:hAnsi="Arial" w:cs="Arial" w:eastAsia="Arial"/>
          <w:color w:val="auto"/>
          <w:spacing w:val="0"/>
          <w:position w:val="0"/>
          <w:sz w:val="20"/>
          <w:shd w:fill="auto" w:val="clear"/>
        </w:rPr>
        <w:t xml:space="preserve">DTC</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1004</w:t>
      </w:r>
      <w:r>
        <w:rPr>
          <w:rFonts w:ascii="Arial" w:hAnsi="Arial" w:cs="Arial" w:eastAsia="Arial"/>
          <w:color w:val="auto"/>
          <w:spacing w:val="0"/>
          <w:position w:val="0"/>
          <w:sz w:val="20"/>
          <w:shd w:fill="auto" w:val="clear"/>
        </w:rPr>
        <w:t xml:space="preserve">).</w:t>
      </w:r>
    </w:p>
    <w:p>
      <w:pPr>
        <w:spacing w:before="91" w:after="0" w:line="259"/>
        <w:ind w:right="733"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solution</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follows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judge's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analysis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decision</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case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(note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translated from French). The judge's conclusion also contained a long section of references to other cases, which we have not included in this solution. The original dates in the solution have been changed to correspond to the dates in 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problem.</w:t>
      </w:r>
    </w:p>
    <w:p>
      <w:pPr>
        <w:spacing w:before="10"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60" w:firstLine="0"/>
        <w:jc w:val="both"/>
        <w:rPr>
          <w:rFonts w:ascii="Calibri" w:hAnsi="Calibri" w:cs="Calibri" w:eastAsia="Calibri"/>
          <w:b/>
          <w:i/>
          <w:color w:val="auto"/>
          <w:spacing w:val="0"/>
          <w:position w:val="0"/>
          <w:sz w:val="20"/>
          <w:shd w:fill="auto" w:val="clear"/>
        </w:rPr>
      </w:pPr>
      <w:r>
        <w:rPr>
          <w:rFonts w:ascii="Arial" w:hAnsi="Arial" w:cs="Arial" w:eastAsia="Arial"/>
          <w:b/>
          <w:i/>
          <w:color w:val="auto"/>
          <w:spacing w:val="0"/>
          <w:position w:val="0"/>
          <w:sz w:val="20"/>
          <w:shd w:fill="auto" w:val="clear"/>
        </w:rPr>
        <w:t xml:space="preserve">Judge</w:t>
      </w:r>
      <w:r>
        <w:rPr>
          <w:rFonts w:ascii="Arial" w:hAnsi="Arial" w:cs="Arial" w:eastAsia="Arial"/>
          <w:b/>
          <w:i/>
          <w:color w:val="auto"/>
          <w:spacing w:val="0"/>
          <w:position w:val="0"/>
          <w:sz w:val="20"/>
          <w:shd w:fill="auto" w:val="clear"/>
        </w:rPr>
        <w:t xml:space="preserve">’</w:t>
      </w:r>
      <w:r>
        <w:rPr>
          <w:rFonts w:ascii="Calibri" w:hAnsi="Calibri" w:cs="Calibri" w:eastAsia="Calibri"/>
          <w:b/>
          <w:i/>
          <w:color w:val="auto"/>
          <w:spacing w:val="0"/>
          <w:position w:val="0"/>
          <w:sz w:val="20"/>
          <w:shd w:fill="auto" w:val="clear"/>
        </w:rPr>
        <w:t xml:space="preserve">s Analysis and Decision</w:t>
      </w:r>
    </w:p>
    <w:p>
      <w:pPr>
        <w:spacing w:before="16" w:after="0" w:line="259"/>
        <w:ind w:right="736" w:left="260"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respondent</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main argument is that every person must have a residence. Presuming the appellant had not resided in Qatar, she found that he must necessarily have resided in Canada.</w:t>
      </w:r>
    </w:p>
    <w:p>
      <w:pPr>
        <w:spacing w:before="95" w:after="0" w:line="240"/>
        <w:ind w:right="0" w:left="260"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After arriving at this conclusion, she relied on the following facts:</w:t>
      </w:r>
    </w:p>
    <w:p>
      <w:pPr>
        <w:numPr>
          <w:ilvl w:val="0"/>
          <w:numId w:val="128"/>
        </w:numPr>
        <w:tabs>
          <w:tab w:val="left" w:pos="1099" w:leader="none"/>
          <w:tab w:val="left" w:pos="1100" w:leader="none"/>
        </w:tabs>
        <w:spacing w:before="104" w:after="0" w:line="240"/>
        <w:ind w:right="0"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came to Canada a few</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times.</w:t>
      </w:r>
    </w:p>
    <w:p>
      <w:pPr>
        <w:numPr>
          <w:ilvl w:val="0"/>
          <w:numId w:val="128"/>
        </w:numPr>
        <w:tabs>
          <w:tab w:val="left" w:pos="1099" w:leader="none"/>
          <w:tab w:val="left" w:pos="1100" w:leader="none"/>
        </w:tabs>
        <w:spacing w:before="3" w:after="0" w:line="256"/>
        <w:ind w:right="735"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appellant</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had</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two</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bank</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accounts</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in</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Canada,</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which</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he</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used</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make</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all</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his</w:t>
      </w:r>
      <w:r>
        <w:rPr>
          <w:rFonts w:ascii="Calibri" w:hAnsi="Calibri" w:cs="Calibri" w:eastAsia="Calibri"/>
          <w:color w:val="auto"/>
          <w:spacing w:val="-13"/>
          <w:position w:val="0"/>
          <w:sz w:val="20"/>
          <w:shd w:fill="auto" w:val="clear"/>
        </w:rPr>
        <w:t xml:space="preserve"> </w:t>
      </w:r>
      <w:r>
        <w:rPr>
          <w:rFonts w:ascii="Calibri" w:hAnsi="Calibri" w:cs="Calibri" w:eastAsia="Calibri"/>
          <w:color w:val="auto"/>
          <w:spacing w:val="0"/>
          <w:position w:val="0"/>
          <w:sz w:val="20"/>
          <w:shd w:fill="auto" w:val="clear"/>
        </w:rPr>
        <w:t xml:space="preserve">payments, in particular for his credit cards, which were also issued in</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Canada.</w:t>
      </w:r>
    </w:p>
    <w:p>
      <w:pPr>
        <w:numPr>
          <w:ilvl w:val="0"/>
          <w:numId w:val="128"/>
        </w:numPr>
        <w:tabs>
          <w:tab w:val="left" w:pos="1099" w:leader="none"/>
          <w:tab w:val="left" w:pos="1100" w:leader="none"/>
        </w:tabs>
        <w:spacing w:before="0" w:after="0" w:line="240"/>
        <w:ind w:right="0"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had some money in an</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RRSP.</w:t>
      </w:r>
    </w:p>
    <w:p>
      <w:pPr>
        <w:numPr>
          <w:ilvl w:val="0"/>
          <w:numId w:val="128"/>
        </w:numPr>
        <w:tabs>
          <w:tab w:val="left" w:pos="1099" w:leader="none"/>
          <w:tab w:val="left" w:pos="1100" w:leader="none"/>
        </w:tabs>
        <w:spacing w:before="0" w:after="0" w:line="240"/>
        <w:ind w:right="0"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had no postal address in</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Qatar.</w:t>
      </w:r>
    </w:p>
    <w:p>
      <w:pPr>
        <w:spacing w:before="96" w:after="0" w:line="259"/>
        <w:ind w:right="735"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As for the other elements, for example, not having a 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licence, not having property such as furniture, clothing, accommodations, or vehicles, and not having a health insurance card, the respondent claims that they have no impact one way or the other.</w:t>
      </w:r>
    </w:p>
    <w:p>
      <w:pPr>
        <w:spacing w:before="97" w:after="0" w:line="259"/>
        <w:ind w:right="734"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evidence</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clearly</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showed</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that</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appellant</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decision</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came</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after</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lengthy</w:t>
      </w:r>
      <w:r>
        <w:rPr>
          <w:rFonts w:ascii="Calibri" w:hAnsi="Calibri" w:cs="Calibri" w:eastAsia="Calibri"/>
          <w:color w:val="auto"/>
          <w:spacing w:val="-8"/>
          <w:position w:val="0"/>
          <w:sz w:val="20"/>
          <w:shd w:fill="auto" w:val="clear"/>
        </w:rPr>
        <w:t xml:space="preserve"> </w:t>
      </w:r>
      <w:r>
        <w:rPr>
          <w:rFonts w:ascii="Calibri" w:hAnsi="Calibri" w:cs="Calibri" w:eastAsia="Calibri"/>
          <w:color w:val="auto"/>
          <w:spacing w:val="0"/>
          <w:position w:val="0"/>
          <w:sz w:val="20"/>
          <w:shd w:fill="auto" w:val="clear"/>
        </w:rPr>
        <w:t xml:space="preserve">period</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reflection. It also showed that the appellant did not have any deep roots and did not hesitate to leave when his son, who was ill, let him go with no</w:t>
      </w:r>
      <w:r>
        <w:rPr>
          <w:rFonts w:ascii="Calibri" w:hAnsi="Calibri" w:cs="Calibri" w:eastAsia="Calibri"/>
          <w:color w:val="auto"/>
          <w:spacing w:val="-11"/>
          <w:position w:val="0"/>
          <w:sz w:val="20"/>
          <w:shd w:fill="auto" w:val="clear"/>
        </w:rPr>
        <w:t xml:space="preserve"> </w:t>
      </w:r>
      <w:r>
        <w:rPr>
          <w:rFonts w:ascii="Calibri" w:hAnsi="Calibri" w:cs="Calibri" w:eastAsia="Calibri"/>
          <w:color w:val="auto"/>
          <w:spacing w:val="0"/>
          <w:position w:val="0"/>
          <w:sz w:val="20"/>
          <w:shd w:fill="auto" w:val="clear"/>
        </w:rPr>
        <w:t xml:space="preserve">regrets.</w:t>
      </w:r>
    </w:p>
    <w:p>
      <w:pPr>
        <w:spacing w:before="96" w:after="0" w:line="259"/>
        <w:ind w:right="745"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His relationship with his wife was so tense that they tolerated one another only because of their shared concern about their son who was ill.</w:t>
      </w:r>
    </w:p>
    <w:p>
      <w:pPr>
        <w:spacing w:before="98" w:after="0" w:line="259"/>
        <w:ind w:right="733"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had a very good position. He did not want to run away from his responsibilities. He gave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all</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his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property</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and</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agreed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pay</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generous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support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payments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before</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leaving;</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has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always complied with these commitments. He did not apply for a new Canadian 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licence when his was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suspended,</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even</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though</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evidence</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showed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it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was</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important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for</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him</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be</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able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use</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car if</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wanted</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an</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international</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licence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or</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even</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licence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from</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country</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in</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which</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he was</w:t>
      </w:r>
      <w:r>
        <w:rPr>
          <w:rFonts w:ascii="Calibri" w:hAnsi="Calibri" w:cs="Calibri" w:eastAsia="Calibri"/>
          <w:color w:val="auto"/>
          <w:spacing w:val="-1"/>
          <w:position w:val="0"/>
          <w:sz w:val="20"/>
          <w:shd w:fill="auto" w:val="clear"/>
        </w:rPr>
        <w:t xml:space="preserve"> </w:t>
      </w:r>
      <w:r>
        <w:rPr>
          <w:rFonts w:ascii="Calibri" w:hAnsi="Calibri" w:cs="Calibri" w:eastAsia="Calibri"/>
          <w:color w:val="auto"/>
          <w:spacing w:val="0"/>
          <w:position w:val="0"/>
          <w:sz w:val="20"/>
          <w:shd w:fill="auto" w:val="clear"/>
        </w:rPr>
        <w:t xml:space="preserve">living.</w:t>
      </w:r>
    </w:p>
    <w:p>
      <w:pPr>
        <w:spacing w:before="91" w:after="0" w:line="240"/>
        <w:ind w:right="0" w:left="259" w:firstLine="0"/>
        <w:jc w:val="both"/>
        <w:rPr>
          <w:rFonts w:ascii="Arial" w:hAnsi="Arial" w:cs="Arial" w:eastAsia="Arial"/>
          <w:color w:val="auto"/>
          <w:spacing w:val="0"/>
          <w:position w:val="0"/>
          <w:sz w:val="20"/>
          <w:shd w:fill="auto" w:val="clear"/>
        </w:rPr>
      </w:pPr>
      <w:r>
        <w:rPr>
          <w:rFonts w:ascii="Calibri" w:hAnsi="Calibri" w:cs="Calibri" w:eastAsia="Calibri"/>
          <w:color w:val="auto"/>
          <w:spacing w:val="0"/>
          <w:position w:val="0"/>
          <w:sz w:val="20"/>
          <w:shd w:fill="auto" w:val="clear"/>
        </w:rPr>
        <w:t xml:space="preserve">He specifically gave up his health card in </w:t>
      </w:r>
      <w:r>
        <w:rPr>
          <w:rFonts w:ascii="Arial" w:hAnsi="Arial" w:cs="Arial" w:eastAsia="Arial"/>
          <w:color w:val="auto"/>
          <w:spacing w:val="0"/>
          <w:position w:val="0"/>
          <w:sz w:val="20"/>
          <w:shd w:fill="auto" w:val="clear"/>
        </w:rPr>
        <w:t xml:space="preserve">2018</w:t>
      </w:r>
      <w:r>
        <w:rPr>
          <w:rFonts w:ascii="Arial" w:hAnsi="Arial" w:cs="Arial" w:eastAsia="Arial"/>
          <w:color w:val="auto"/>
          <w:spacing w:val="0"/>
          <w:position w:val="0"/>
          <w:sz w:val="20"/>
          <w:shd w:fill="auto" w:val="clear"/>
        </w:rPr>
        <w:t xml:space="preserve">.</w:t>
      </w:r>
    </w:p>
    <w:p>
      <w:pPr>
        <w:spacing w:before="117" w:after="0" w:line="259"/>
        <w:ind w:right="733"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Regarding the beginning of the relevant period of the appeal, the beginning of </w:t>
      </w:r>
      <w:r>
        <w:rPr>
          <w:rFonts w:ascii="Arial" w:hAnsi="Arial" w:cs="Arial" w:eastAsia="Arial"/>
          <w:color w:val="auto"/>
          <w:spacing w:val="0"/>
          <w:position w:val="0"/>
          <w:sz w:val="20"/>
          <w:shd w:fill="auto" w:val="clear"/>
        </w:rPr>
        <w:t xml:space="preserve">2017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(the original year), it must be considered that a reasonable person would be careful. The appellant stated he could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only</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get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work</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permit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if</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medical</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exam</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showed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good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health,</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otherwise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had</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to return</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his</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country</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origin.</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same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can</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said</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position,</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duration</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which</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generally depends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employer,</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employee.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other</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words,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normally,</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reasonable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delay before a permanent break. This explains the time between the beginning of the period in question and the time the appellant gave up his health</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insurance.</w:t>
      </w:r>
    </w:p>
    <w:p>
      <w:pPr>
        <w:spacing w:before="88" w:after="0" w:line="261"/>
        <w:ind w:right="736"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argument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appellant</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never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had</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residence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Qatar,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do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believe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cogent, because</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appellant</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employed</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had</w:t>
      </w:r>
      <w:r>
        <w:rPr>
          <w:rFonts w:ascii="Arial" w:hAnsi="Arial" w:cs="Arial" w:eastAsia="Arial"/>
          <w:color w:val="auto"/>
          <w:spacing w:val="35"/>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residence.</w:t>
      </w:r>
      <w:r>
        <w:rPr>
          <w:rFonts w:ascii="Arial" w:hAnsi="Arial" w:cs="Arial" w:eastAsia="Arial"/>
          <w:color w:val="auto"/>
          <w:spacing w:val="33"/>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35"/>
          <w:position w:val="0"/>
          <w:sz w:val="20"/>
          <w:shd w:fill="auto" w:val="clear"/>
        </w:rPr>
        <w:t xml:space="preserve"> </w:t>
      </w:r>
      <w:r>
        <w:rPr>
          <w:rFonts w:ascii="Arial" w:hAnsi="Arial" w:cs="Arial" w:eastAsia="Arial"/>
          <w:color w:val="auto"/>
          <w:spacing w:val="0"/>
          <w:position w:val="0"/>
          <w:sz w:val="20"/>
          <w:shd w:fill="auto" w:val="clear"/>
        </w:rPr>
        <w:t xml:space="preserve">appellant</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s</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strong</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interest</w:t>
      </w:r>
      <w:r>
        <w:rPr>
          <w:rFonts w:ascii="Arial" w:hAnsi="Arial" w:cs="Arial" w:eastAsia="Arial"/>
          <w:color w:val="auto"/>
          <w:spacing w:val="34"/>
          <w:position w:val="0"/>
          <w:sz w:val="20"/>
          <w:shd w:fill="auto" w:val="clear"/>
        </w:rPr>
        <w:t xml:space="preserve"> </w:t>
      </w:r>
      <w:r>
        <w:rPr>
          <w:rFonts w:ascii="Arial" w:hAnsi="Arial" w:cs="Arial" w:eastAsia="Arial"/>
          <w:color w:val="auto"/>
          <w:spacing w:val="0"/>
          <w:position w:val="0"/>
          <w:sz w:val="20"/>
          <w:shd w:fill="auto" w:val="clear"/>
        </w:rPr>
        <w:t xml:space="preserve">in</w:t>
      </w:r>
    </w:p>
    <w:p>
      <w:pPr>
        <w:spacing w:before="0" w:after="0" w:line="261"/>
        <w:ind w:right="0" w:left="0" w:firstLine="0"/>
        <w:jc w:val="both"/>
        <w:rPr>
          <w:rFonts w:ascii="Arial" w:hAnsi="Arial" w:cs="Arial" w:eastAsia="Arial"/>
          <w:color w:val="auto"/>
          <w:spacing w:val="0"/>
          <w:position w:val="0"/>
          <w:sz w:val="22"/>
          <w:shd w:fill="auto" w:val="clear"/>
        </w:rPr>
      </w:pPr>
    </w:p>
    <w:p>
      <w:pPr>
        <w:spacing w:before="5" w:after="0" w:line="240"/>
        <w:ind w:right="0" w:left="0" w:firstLine="0"/>
        <w:jc w:val="left"/>
        <w:rPr>
          <w:rFonts w:ascii="Arial" w:hAnsi="Arial" w:cs="Arial" w:eastAsia="Arial"/>
          <w:color w:val="auto"/>
          <w:spacing w:val="0"/>
          <w:position w:val="0"/>
          <w:sz w:val="17"/>
          <w:shd w:fill="auto" w:val="clear"/>
        </w:rPr>
      </w:pPr>
    </w:p>
    <w:p>
      <w:pPr>
        <w:spacing w:before="97" w:after="0" w:line="259"/>
        <w:ind w:right="737" w:left="260" w:firstLine="0"/>
        <w:jc w:val="both"/>
        <w:rPr>
          <w:rFonts w:ascii="Calibri" w:hAnsi="Calibri" w:cs="Calibri" w:eastAsia="Calibri"/>
          <w:color w:val="auto"/>
          <w:spacing w:val="0"/>
          <w:position w:val="0"/>
          <w:sz w:val="20"/>
          <w:shd w:fill="auto" w:val="clear"/>
        </w:rPr>
      </w:pPr>
      <w:r>
        <w:rPr>
          <w:rFonts w:ascii="Arial" w:hAnsi="Arial" w:cs="Arial" w:eastAsia="Arial"/>
          <w:color w:val="auto"/>
          <w:spacing w:val="0"/>
          <w:position w:val="0"/>
          <w:sz w:val="20"/>
          <w:shd w:fill="auto" w:val="clear"/>
        </w:rPr>
        <w:t xml:space="preserve">staying in Qatar was shown by the intensive courses he took to get a 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licence, when he could have travelled with coworkers, even though he had cancelled his Canadian 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licence. When</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his</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employment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ended</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in</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Qatar,</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appellant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returned</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country</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4"/>
          <w:position w:val="0"/>
          <w:sz w:val="20"/>
          <w:shd w:fill="auto" w:val="clear"/>
        </w:rPr>
        <w:t xml:space="preserve"> </w:t>
      </w:r>
      <w:r>
        <w:rPr>
          <w:rFonts w:ascii="Calibri" w:hAnsi="Calibri" w:cs="Calibri" w:eastAsia="Calibri"/>
          <w:color w:val="auto"/>
          <w:spacing w:val="0"/>
          <w:position w:val="0"/>
          <w:sz w:val="20"/>
          <w:shd w:fill="auto" w:val="clear"/>
        </w:rPr>
        <w:t xml:space="preserve">see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people</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with whom he had worked and the work he had</w:t>
      </w:r>
      <w:r>
        <w:rPr>
          <w:rFonts w:ascii="Calibri" w:hAnsi="Calibri" w:cs="Calibri" w:eastAsia="Calibri"/>
          <w:color w:val="auto"/>
          <w:spacing w:val="-10"/>
          <w:position w:val="0"/>
          <w:sz w:val="20"/>
          <w:shd w:fill="auto" w:val="clear"/>
        </w:rPr>
        <w:t xml:space="preserve"> </w:t>
      </w:r>
      <w:r>
        <w:rPr>
          <w:rFonts w:ascii="Calibri" w:hAnsi="Calibri" w:cs="Calibri" w:eastAsia="Calibri"/>
          <w:color w:val="auto"/>
          <w:spacing w:val="0"/>
          <w:position w:val="0"/>
          <w:sz w:val="20"/>
          <w:shd w:fill="auto" w:val="clear"/>
        </w:rPr>
        <w:t xml:space="preserve">done.</w:t>
      </w:r>
    </w:p>
    <w:p>
      <w:pPr>
        <w:spacing w:before="93" w:after="0" w:line="259"/>
        <w:ind w:right="736" w:left="260"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In particular, in view of the following facts, I find that, on the preponderance of the evidence, the appellant</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position must be accepted:</w:t>
      </w:r>
    </w:p>
    <w:p>
      <w:pPr>
        <w:numPr>
          <w:ilvl w:val="0"/>
          <w:numId w:val="143"/>
        </w:numPr>
        <w:tabs>
          <w:tab w:val="left" w:pos="1099" w:leader="none"/>
          <w:tab w:val="left" w:pos="1101" w:leader="none"/>
        </w:tabs>
        <w:spacing w:before="84" w:after="0" w:line="240"/>
        <w:ind w:right="0" w:left="1100"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family context was special and conducive to a permanent</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departure.</w:t>
      </w:r>
    </w:p>
    <w:p>
      <w:pPr>
        <w:numPr>
          <w:ilvl w:val="0"/>
          <w:numId w:val="143"/>
        </w:numPr>
        <w:tabs>
          <w:tab w:val="left" w:pos="1099" w:leader="none"/>
          <w:tab w:val="left" w:pos="1101" w:leader="none"/>
        </w:tabs>
        <w:spacing w:before="0" w:after="0" w:line="240"/>
        <w:ind w:right="0" w:left="1100"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left after disposing of all his own</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property.</w:t>
      </w:r>
    </w:p>
    <w:p>
      <w:pPr>
        <w:numPr>
          <w:ilvl w:val="0"/>
          <w:numId w:val="143"/>
        </w:numPr>
        <w:tabs>
          <w:tab w:val="left" w:pos="1099" w:leader="none"/>
          <w:tab w:val="left" w:pos="1101" w:leader="none"/>
        </w:tabs>
        <w:spacing w:before="0" w:after="0" w:line="254"/>
        <w:ind w:right="735" w:left="1100"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appellant</w:t>
      </w:r>
      <w:r>
        <w:rPr>
          <w:rFonts w:ascii="Calibri" w:hAnsi="Calibri" w:cs="Calibri" w:eastAsia="Calibri"/>
          <w:color w:val="auto"/>
          <w:spacing w:val="-17"/>
          <w:position w:val="0"/>
          <w:sz w:val="20"/>
          <w:shd w:fill="auto" w:val="clear"/>
        </w:rPr>
        <w:t xml:space="preserve"> </w:t>
      </w:r>
      <w:r>
        <w:rPr>
          <w:rFonts w:ascii="Calibri" w:hAnsi="Calibri" w:cs="Calibri" w:eastAsia="Calibri"/>
          <w:color w:val="auto"/>
          <w:spacing w:val="0"/>
          <w:position w:val="0"/>
          <w:sz w:val="20"/>
          <w:shd w:fill="auto" w:val="clear"/>
        </w:rPr>
        <w:t xml:space="preserve">waived</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his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right</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obtain</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new</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driver</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licence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a</w:t>
      </w:r>
      <w:r>
        <w:rPr>
          <w:rFonts w:ascii="Calibri" w:hAnsi="Calibri" w:cs="Calibri" w:eastAsia="Calibri"/>
          <w:color w:val="auto"/>
          <w:spacing w:val="-16"/>
          <w:position w:val="0"/>
          <w:sz w:val="20"/>
          <w:shd w:fill="auto" w:val="clear"/>
        </w:rPr>
        <w:t xml:space="preserve"> </w:t>
      </w:r>
      <w:r>
        <w:rPr>
          <w:rFonts w:ascii="Calibri" w:hAnsi="Calibri" w:cs="Calibri" w:eastAsia="Calibri"/>
          <w:color w:val="auto"/>
          <w:spacing w:val="0"/>
          <w:position w:val="0"/>
          <w:sz w:val="20"/>
          <w:shd w:fill="auto" w:val="clear"/>
        </w:rPr>
        <w:t xml:space="preserve">few</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months</w:t>
      </w:r>
      <w:r>
        <w:rPr>
          <w:rFonts w:ascii="Calibri" w:hAnsi="Calibri" w:cs="Calibri" w:eastAsia="Calibri"/>
          <w:color w:val="auto"/>
          <w:spacing w:val="-14"/>
          <w:position w:val="0"/>
          <w:sz w:val="20"/>
          <w:shd w:fill="auto" w:val="clear"/>
        </w:rPr>
        <w:t xml:space="preserve"> </w:t>
      </w:r>
      <w:r>
        <w:rPr>
          <w:rFonts w:ascii="Calibri" w:hAnsi="Calibri" w:cs="Calibri" w:eastAsia="Calibri"/>
          <w:color w:val="auto"/>
          <w:spacing w:val="0"/>
          <w:position w:val="0"/>
          <w:sz w:val="20"/>
          <w:shd w:fill="auto" w:val="clear"/>
        </w:rPr>
        <w:t xml:space="preserve">before</w:t>
      </w:r>
      <w:r>
        <w:rPr>
          <w:rFonts w:ascii="Calibri" w:hAnsi="Calibri" w:cs="Calibri" w:eastAsia="Calibri"/>
          <w:color w:val="auto"/>
          <w:spacing w:val="-15"/>
          <w:position w:val="0"/>
          <w:sz w:val="20"/>
          <w:shd w:fill="auto" w:val="clear"/>
        </w:rPr>
        <w:t xml:space="preserve"> </w:t>
      </w:r>
      <w:r>
        <w:rPr>
          <w:rFonts w:ascii="Calibri" w:hAnsi="Calibri" w:cs="Calibri" w:eastAsia="Calibri"/>
          <w:color w:val="auto"/>
          <w:spacing w:val="0"/>
          <w:position w:val="0"/>
          <w:sz w:val="20"/>
          <w:shd w:fill="auto" w:val="clear"/>
        </w:rPr>
        <w:t xml:space="preserve">leaving Canada.</w:t>
      </w:r>
    </w:p>
    <w:p>
      <w:pPr>
        <w:numPr>
          <w:ilvl w:val="0"/>
          <w:numId w:val="143"/>
        </w:numPr>
        <w:tabs>
          <w:tab w:val="left" w:pos="1099" w:leader="none"/>
          <w:tab w:val="left" w:pos="1100" w:leader="none"/>
        </w:tabs>
        <w:spacing w:before="5" w:after="0" w:line="254"/>
        <w:ind w:right="739"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returned to Canada a few times for very short stays that were for the purpose of visiting his two sons, his mother, and</w:t>
      </w:r>
      <w:r>
        <w:rPr>
          <w:rFonts w:ascii="Calibri" w:hAnsi="Calibri" w:cs="Calibri" w:eastAsia="Calibri"/>
          <w:color w:val="auto"/>
          <w:spacing w:val="-12"/>
          <w:position w:val="0"/>
          <w:sz w:val="20"/>
          <w:shd w:fill="auto" w:val="clear"/>
        </w:rPr>
        <w:t xml:space="preserve"> </w:t>
      </w:r>
      <w:r>
        <w:rPr>
          <w:rFonts w:ascii="Calibri" w:hAnsi="Calibri" w:cs="Calibri" w:eastAsia="Calibri"/>
          <w:color w:val="auto"/>
          <w:spacing w:val="0"/>
          <w:position w:val="0"/>
          <w:sz w:val="20"/>
          <w:shd w:fill="auto" w:val="clear"/>
        </w:rPr>
        <w:t xml:space="preserve">friends.</w:t>
      </w:r>
    </w:p>
    <w:p>
      <w:pPr>
        <w:spacing w:before="105" w:after="0" w:line="259"/>
        <w:ind w:right="736"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After</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leaving</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Qatar</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upon</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expiry</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of</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his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work</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contract,</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the</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appellant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returned</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to</w:t>
      </w:r>
      <w:r>
        <w:rPr>
          <w:rFonts w:ascii="Calibri" w:hAnsi="Calibri" w:cs="Calibri" w:eastAsia="Calibri"/>
          <w:color w:val="auto"/>
          <w:spacing w:val="-5"/>
          <w:position w:val="0"/>
          <w:sz w:val="20"/>
          <w:shd w:fill="auto" w:val="clear"/>
        </w:rPr>
        <w:t xml:space="preserve"> </w:t>
      </w:r>
      <w:r>
        <w:rPr>
          <w:rFonts w:ascii="Calibri" w:hAnsi="Calibri" w:cs="Calibri" w:eastAsia="Calibri"/>
          <w:color w:val="auto"/>
          <w:spacing w:val="0"/>
          <w:position w:val="0"/>
          <w:sz w:val="20"/>
          <w:shd w:fill="auto" w:val="clear"/>
        </w:rPr>
        <w:t xml:space="preserve">meet</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friends</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and business acquaintances, thereby showing he had been happy</w:t>
      </w:r>
      <w:r>
        <w:rPr>
          <w:rFonts w:ascii="Calibri" w:hAnsi="Calibri" w:cs="Calibri" w:eastAsia="Calibri"/>
          <w:color w:val="auto"/>
          <w:spacing w:val="-9"/>
          <w:position w:val="0"/>
          <w:sz w:val="20"/>
          <w:shd w:fill="auto" w:val="clear"/>
        </w:rPr>
        <w:t xml:space="preserve"> </w:t>
      </w:r>
      <w:r>
        <w:rPr>
          <w:rFonts w:ascii="Calibri" w:hAnsi="Calibri" w:cs="Calibri" w:eastAsia="Calibri"/>
          <w:color w:val="auto"/>
          <w:spacing w:val="0"/>
          <w:position w:val="0"/>
          <w:sz w:val="20"/>
          <w:shd w:fill="auto" w:val="clear"/>
        </w:rPr>
        <w:t xml:space="preserve">there.</w:t>
      </w:r>
    </w:p>
    <w:p>
      <w:pPr>
        <w:spacing w:before="97" w:after="0" w:line="240"/>
        <w:ind w:right="0" w:left="259" w:firstLine="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break came after a long period of thorough reflection.</w:t>
      </w:r>
    </w:p>
    <w:p>
      <w:pPr>
        <w:spacing w:before="117" w:after="0" w:line="259"/>
        <w:ind w:right="738" w:left="259" w:firstLine="0"/>
        <w:jc w:val="both"/>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appellant has set out all the facts showing his intention to sever ties with this country permanently.</w:t>
      </w:r>
    </w:p>
    <w:p>
      <w:pPr>
        <w:spacing w:before="97" w:after="0" w:line="259"/>
        <w:ind w:right="740" w:left="259" w:firstLine="0"/>
        <w:jc w:val="both"/>
        <w:rPr>
          <w:rFonts w:ascii="Arial" w:hAnsi="Arial" w:cs="Arial" w:eastAsia="Arial"/>
          <w:color w:val="auto"/>
          <w:spacing w:val="0"/>
          <w:position w:val="0"/>
          <w:sz w:val="20"/>
          <w:shd w:fill="auto" w:val="clear"/>
        </w:rPr>
      </w:pPr>
      <w:r>
        <w:rPr>
          <w:rFonts w:ascii="Calibri" w:hAnsi="Calibri" w:cs="Calibri" w:eastAsia="Calibri"/>
          <w:color w:val="auto"/>
          <w:spacing w:val="0"/>
          <w:position w:val="0"/>
          <w:sz w:val="20"/>
          <w:shd w:fill="auto" w:val="clear"/>
        </w:rPr>
        <w:t xml:space="preserve">Although the relevance of prior facts is limited, they tend to confirm that the appellant severed his ties with Canada in mid-January </w:t>
      </w:r>
      <w:r>
        <w:rPr>
          <w:rFonts w:ascii="Arial" w:hAnsi="Arial" w:cs="Arial" w:eastAsia="Arial"/>
          <w:color w:val="auto"/>
          <w:spacing w:val="0"/>
          <w:position w:val="0"/>
          <w:sz w:val="20"/>
          <w:shd w:fill="auto" w:val="clear"/>
        </w:rPr>
        <w:t xml:space="preserve">2017</w:t>
      </w:r>
      <w:r>
        <w:rPr>
          <w:rFonts w:ascii="Arial" w:hAnsi="Arial" w:cs="Arial" w:eastAsia="Arial"/>
          <w:color w:val="auto"/>
          <w:spacing w:val="0"/>
          <w:position w:val="0"/>
          <w:sz w:val="20"/>
          <w:shd w:fill="auto" w:val="clear"/>
        </w:rPr>
        <w:t xml:space="preserve">.</w:t>
      </w:r>
    </w:p>
    <w:p>
      <w:pPr>
        <w:spacing w:before="98" w:after="0" w:line="259"/>
        <w:ind w:right="739"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For these reasons, I conclude that the appellant ceased being a resident of Canada as of January </w:t>
      </w:r>
      <w:r>
        <w:rPr>
          <w:rFonts w:ascii="Arial" w:hAnsi="Arial" w:cs="Arial" w:eastAsia="Arial"/>
          <w:color w:val="auto"/>
          <w:spacing w:val="0"/>
          <w:position w:val="0"/>
          <w:sz w:val="20"/>
          <w:shd w:fill="auto" w:val="clear"/>
        </w:rPr>
        <w:t xml:space="preserve">13</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2017</w:t>
      </w:r>
      <w:r>
        <w:rPr>
          <w:rFonts w:ascii="Arial" w:hAnsi="Arial" w:cs="Arial" w:eastAsia="Arial"/>
          <w:color w:val="auto"/>
          <w:spacing w:val="0"/>
          <w:position w:val="0"/>
          <w:sz w:val="20"/>
          <w:shd w:fill="auto" w:val="clear"/>
        </w:rPr>
        <w:t xml:space="preserve">. As a result, the appeal is allowed with costs in favour of the appellant.</w:t>
      </w:r>
    </w:p>
    <w:p>
      <w:pPr>
        <w:spacing w:before="0" w:after="0" w:line="259"/>
        <w:ind w:right="0" w:left="0" w:firstLine="0"/>
        <w:jc w:val="both"/>
        <w:rPr>
          <w:rFonts w:ascii="Arial" w:hAnsi="Arial" w:cs="Arial" w:eastAsia="Arial"/>
          <w:color w:val="auto"/>
          <w:spacing w:val="0"/>
          <w:position w:val="0"/>
          <w:sz w:val="22"/>
          <w:shd w:fill="auto" w:val="clear"/>
        </w:rPr>
      </w:pPr>
    </w:p>
    <w:p>
      <w:pPr>
        <w:spacing w:before="6" w:after="0" w:line="240"/>
        <w:ind w:right="0" w:left="0" w:firstLine="0"/>
        <w:jc w:val="left"/>
        <w:rPr>
          <w:rFonts w:ascii="Arial" w:hAnsi="Arial" w:cs="Arial" w:eastAsia="Arial"/>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7</w:t>
      </w:r>
    </w:p>
    <w:p>
      <w:pPr>
        <w:spacing w:before="2" w:after="0" w:line="240"/>
        <w:ind w:right="0" w:left="0" w:firstLine="0"/>
        <w:jc w:val="left"/>
        <w:rPr>
          <w:rFonts w:ascii="Arial" w:hAnsi="Arial" w:cs="Arial" w:eastAsia="Arial"/>
          <w:b/>
          <w:color w:val="auto"/>
          <w:spacing w:val="0"/>
          <w:position w:val="0"/>
          <w:sz w:val="10"/>
          <w:shd w:fill="auto" w:val="clear"/>
        </w:rPr>
      </w:pPr>
    </w:p>
    <w:p>
      <w:pPr>
        <w:spacing w:before="101" w:after="0" w:line="240"/>
        <w:ind w:right="0" w:left="235"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A</w:t>
      </w:r>
    </w:p>
    <w:p>
      <w:pPr>
        <w:spacing w:before="13" w:after="0" w:line="240"/>
        <w:ind w:right="0" w:left="235"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Residency terminates at the latest of:</w:t>
      </w:r>
    </w:p>
    <w:p>
      <w:pPr>
        <w:numPr>
          <w:ilvl w:val="0"/>
          <w:numId w:val="158"/>
        </w:numPr>
        <w:tabs>
          <w:tab w:val="left" w:pos="1099" w:leader="none"/>
          <w:tab w:val="left" w:pos="1100" w:leader="none"/>
        </w:tabs>
        <w:spacing w:before="123" w:after="0" w:line="240"/>
        <w:ind w:right="0" w:left="1099" w:hanging="359"/>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date the individual leaves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Canada;</w:t>
      </w:r>
    </w:p>
    <w:p>
      <w:pPr>
        <w:numPr>
          <w:ilvl w:val="0"/>
          <w:numId w:val="158"/>
        </w:numPr>
        <w:tabs>
          <w:tab w:val="left" w:pos="1099" w:leader="none"/>
          <w:tab w:val="left" w:pos="1100" w:leader="none"/>
        </w:tabs>
        <w:spacing w:before="20" w:after="0" w:line="240"/>
        <w:ind w:right="0" w:left="1099" w:hanging="360"/>
        <w:jc w:val="left"/>
        <w:rPr>
          <w:rFonts w:ascii="Calibri" w:hAnsi="Calibri" w:cs="Calibri" w:eastAsia="Calibri"/>
          <w:color w:val="auto"/>
          <w:spacing w:val="0"/>
          <w:position w:val="0"/>
          <w:sz w:val="20"/>
          <w:shd w:fill="auto" w:val="clear"/>
        </w:rPr>
      </w:pPr>
      <w:r>
        <w:rPr>
          <w:rFonts w:ascii="Arial" w:hAnsi="Arial" w:cs="Arial" w:eastAsia="Arial"/>
          <w:color w:val="auto"/>
          <w:spacing w:val="0"/>
          <w:position w:val="0"/>
          <w:sz w:val="20"/>
          <w:shd w:fill="auto" w:val="clear"/>
        </w:rPr>
        <w:t xml:space="preserve">the date the individual</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family leaves Canada;</w:t>
      </w:r>
      <w:r>
        <w:rPr>
          <w:rFonts w:ascii="Calibri" w:hAnsi="Calibri" w:cs="Calibri" w:eastAsia="Calibri"/>
          <w:color w:val="auto"/>
          <w:spacing w:val="-6"/>
          <w:position w:val="0"/>
          <w:sz w:val="20"/>
          <w:shd w:fill="auto" w:val="clear"/>
        </w:rPr>
        <w:t xml:space="preserve"> </w:t>
      </w:r>
      <w:r>
        <w:rPr>
          <w:rFonts w:ascii="Calibri" w:hAnsi="Calibri" w:cs="Calibri" w:eastAsia="Calibri"/>
          <w:color w:val="auto"/>
          <w:spacing w:val="0"/>
          <w:position w:val="0"/>
          <w:sz w:val="20"/>
          <w:shd w:fill="auto" w:val="clear"/>
        </w:rPr>
        <w:t xml:space="preserve">and</w:t>
      </w:r>
    </w:p>
    <w:p>
      <w:pPr>
        <w:numPr>
          <w:ilvl w:val="0"/>
          <w:numId w:val="158"/>
        </w:numPr>
        <w:tabs>
          <w:tab w:val="left" w:pos="1099" w:leader="none"/>
          <w:tab w:val="left" w:pos="1100" w:leader="none"/>
        </w:tabs>
        <w:spacing w:before="20" w:after="0" w:line="240"/>
        <w:ind w:right="0" w:left="1099" w:hanging="360"/>
        <w:jc w:val="left"/>
        <w:rPr>
          <w:rFonts w:ascii="Calibri" w:hAnsi="Calibri" w:cs="Calibri" w:eastAsia="Calibri"/>
          <w:color w:val="auto"/>
          <w:spacing w:val="0"/>
          <w:position w:val="0"/>
          <w:sz w:val="20"/>
          <w:shd w:fill="auto" w:val="clear"/>
        </w:rPr>
      </w:pPr>
      <w:r>
        <w:rPr>
          <w:rFonts w:ascii="Calibri" w:hAnsi="Calibri" w:cs="Calibri" w:eastAsia="Calibri"/>
          <w:color w:val="auto"/>
          <w:spacing w:val="0"/>
          <w:position w:val="0"/>
          <w:sz w:val="20"/>
          <w:shd w:fill="auto" w:val="clear"/>
        </w:rPr>
        <w:t xml:space="preserve">the date that individual establishes residency</w:t>
      </w:r>
      <w:r>
        <w:rPr>
          <w:rFonts w:ascii="Calibri" w:hAnsi="Calibri" w:cs="Calibri" w:eastAsia="Calibri"/>
          <w:color w:val="auto"/>
          <w:spacing w:val="-7"/>
          <w:position w:val="0"/>
          <w:sz w:val="20"/>
          <w:shd w:fill="auto" w:val="clear"/>
        </w:rPr>
        <w:t xml:space="preserve"> </w:t>
      </w:r>
      <w:r>
        <w:rPr>
          <w:rFonts w:ascii="Calibri" w:hAnsi="Calibri" w:cs="Calibri" w:eastAsia="Calibri"/>
          <w:color w:val="auto"/>
          <w:spacing w:val="0"/>
          <w:position w:val="0"/>
          <w:sz w:val="20"/>
          <w:shd w:fill="auto" w:val="clear"/>
        </w:rPr>
        <w:t xml:space="preserve">elsewhere.</w:t>
      </w:r>
    </w:p>
    <w:p>
      <w:pPr>
        <w:spacing w:before="118" w:after="0" w:line="259"/>
        <w:ind w:right="573" w:left="247" w:firstLine="0"/>
        <w:jc w:val="both"/>
        <w:rPr>
          <w:rFonts w:ascii="Arial" w:hAnsi="Arial" w:cs="Arial" w:eastAsia="Arial"/>
          <w:color w:val="auto"/>
          <w:spacing w:val="0"/>
          <w:position w:val="0"/>
          <w:sz w:val="20"/>
          <w:shd w:fill="auto" w:val="clear"/>
        </w:rPr>
      </w:pPr>
      <w:r>
        <w:rPr>
          <w:rFonts w:ascii="Calibri" w:hAnsi="Calibri" w:cs="Calibri" w:eastAsia="Calibri"/>
          <w:color w:val="auto"/>
          <w:spacing w:val="0"/>
          <w:position w:val="0"/>
          <w:sz w:val="20"/>
          <w:shd w:fill="auto" w:val="clear"/>
        </w:rPr>
        <w:t xml:space="preserve">As Gary</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family did not leave Canada until June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Gary would be considered a Canadian resident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until</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date.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Provided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has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no</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intention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returning</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Canadian resident for the period January </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through June </w:t>
      </w:r>
      <w:r>
        <w:rPr>
          <w:rFonts w:ascii="Arial" w:hAnsi="Arial" w:cs="Arial" w:eastAsia="Arial"/>
          <w:color w:val="auto"/>
          <w:spacing w:val="0"/>
          <w:position w:val="0"/>
          <w:sz w:val="20"/>
          <w:shd w:fill="auto" w:val="clear"/>
        </w:rPr>
        <w:t xml:space="preserve">30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He would be subject to Part I tax on his worldwide income during this period. He would not be subject to Part I tax on his rental income subject to that</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date.</w:t>
      </w:r>
    </w:p>
    <w:p>
      <w:pPr>
        <w:spacing w:before="105" w:after="0" w:line="256"/>
        <w:ind w:right="575" w:left="247" w:firstLine="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Note to Instructors </w:t>
      </w:r>
      <w:r>
        <w:rPr>
          <w:rFonts w:ascii="Arial" w:hAnsi="Arial" w:cs="Arial" w:eastAsia="Arial"/>
          <w:color w:val="auto"/>
          <w:spacing w:val="0"/>
          <w:position w:val="0"/>
          <w:sz w:val="20"/>
          <w:shd w:fill="auto" w:val="clear"/>
        </w:rPr>
        <w:t xml:space="preserve">As will be discussed in Chapter </w:t>
      </w:r>
      <w:r>
        <w:rPr>
          <w:rFonts w:ascii="Arial" w:hAnsi="Arial" w:cs="Arial" w:eastAsia="Arial"/>
          <w:color w:val="auto"/>
          <w:spacing w:val="0"/>
          <w:position w:val="0"/>
          <w:sz w:val="20"/>
          <w:shd w:fill="auto" w:val="clear"/>
        </w:rPr>
        <w:t xml:space="preserve">20</w:t>
      </w:r>
      <w:r>
        <w:rPr>
          <w:rFonts w:ascii="Arial" w:hAnsi="Arial" w:cs="Arial" w:eastAsia="Arial"/>
          <w:color w:val="auto"/>
          <w:spacing w:val="0"/>
          <w:position w:val="0"/>
          <w:sz w:val="20"/>
          <w:shd w:fill="auto" w:val="clear"/>
        </w:rPr>
        <w:t xml:space="preserve">, the tax on the rental income would not be subject to Part I tax. It would be Part XIII tax.</w:t>
      </w:r>
    </w:p>
    <w:p>
      <w:pPr>
        <w:spacing w:before="9"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48"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B</w:t>
      </w:r>
    </w:p>
    <w:p>
      <w:pPr>
        <w:spacing w:before="14" w:after="0" w:line="259"/>
        <w:ind w:right="618"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noted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S</w:t>
      </w:r>
      <w:r>
        <w:rPr>
          <w:rFonts w:ascii="Arial" w:hAnsi="Arial" w:cs="Arial" w:eastAsia="Arial"/>
          <w:color w:val="auto"/>
          <w:spacing w:val="0"/>
          <w:position w:val="0"/>
          <w:sz w:val="20"/>
          <w:shd w:fill="auto" w:val="clear"/>
        </w:rPr>
        <w:t xml:space="preserve">5</w:t>
      </w:r>
      <w:r>
        <w:rPr>
          <w:rFonts w:ascii="Arial" w:hAnsi="Arial" w:cs="Arial" w:eastAsia="Arial"/>
          <w:color w:val="auto"/>
          <w:spacing w:val="0"/>
          <w:position w:val="0"/>
          <w:sz w:val="20"/>
          <w:shd w:fill="auto" w:val="clear"/>
        </w:rPr>
        <w:t xml:space="preserve">-F</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-C</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"Determining</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Individual</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Residence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Status",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commuting</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from</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U.S.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for employment purposes does not make an individual a deemed resident under the sojourner rules. Therefore, Sarah would not be considered a Canadian resident for income tax</w:t>
      </w:r>
      <w:r>
        <w:rPr>
          <w:rFonts w:ascii="Arial" w:hAnsi="Arial" w:cs="Arial" w:eastAsia="Arial"/>
          <w:color w:val="auto"/>
          <w:spacing w:val="-24"/>
          <w:position w:val="0"/>
          <w:sz w:val="20"/>
          <w:shd w:fill="auto" w:val="clear"/>
        </w:rPr>
        <w:t xml:space="preserve"> </w:t>
      </w:r>
      <w:r>
        <w:rPr>
          <w:rFonts w:ascii="Arial" w:hAnsi="Arial" w:cs="Arial" w:eastAsia="Arial"/>
          <w:color w:val="auto"/>
          <w:spacing w:val="0"/>
          <w:position w:val="0"/>
          <w:sz w:val="20"/>
          <w:shd w:fill="auto" w:val="clear"/>
        </w:rPr>
        <w:t xml:space="preserve">purposes.</w:t>
      </w:r>
    </w:p>
    <w:p>
      <w:pPr>
        <w:spacing w:before="102" w:after="0" w:line="259"/>
        <w:ind w:right="574"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Sarah would be subject to Canadian tax on her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Canadian employment income. She would not be subject to Canadian tax on her U.S. savings account interest.</w:t>
      </w:r>
    </w:p>
    <w:p>
      <w:pPr>
        <w:spacing w:before="9"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48"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C</w:t>
      </w:r>
    </w:p>
    <w:p>
      <w:pPr>
        <w:spacing w:before="14" w:after="0" w:line="259"/>
        <w:ind w:right="587"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Byron's cruise would be considered a temporary absence from Canada. Given the facts, it appears his intent is not to permanently sever residential ties with Canada. This position is evidenced by the fact his cruise is for a limited time and he will not be establishing residency in another country.</w:t>
      </w:r>
    </w:p>
    <w:p>
      <w:pPr>
        <w:spacing w:before="102" w:after="0" w:line="259"/>
        <w:ind w:right="577"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Byron's</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departure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does</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appear</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true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departure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has</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only</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taken</w:t>
      </w:r>
      <w:r>
        <w:rPr>
          <w:rFonts w:ascii="Arial" w:hAnsi="Arial" w:cs="Arial" w:eastAsia="Arial"/>
          <w:color w:val="auto"/>
          <w:spacing w:val="-14"/>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leave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absence from his job. In addition, he has retained some residential</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ties.</w:t>
      </w:r>
    </w:p>
    <w:p>
      <w:pPr>
        <w:spacing w:before="102" w:after="0" w:line="259"/>
        <w:ind w:right="586"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Given these facts, Byron will remain a Canadian resident during his cruise and would be subject to Canadian tax on his worldwide income during all of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w:t>
      </w:r>
    </w:p>
    <w:p>
      <w:pPr>
        <w:spacing w:before="9"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48"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D</w:t>
      </w:r>
    </w:p>
    <w:p>
      <w:pPr>
        <w:spacing w:before="14" w:after="0" w:line="259"/>
        <w:ind w:right="574"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 she is exempt from taxation in Germany because she is the spouse of a deemed Canadian resident, Hilda would be a deemed resident of Canada for income tax purposes during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[(ITA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)(g)].</w:t>
      </w:r>
    </w:p>
    <w:p>
      <w:pPr>
        <w:spacing w:before="102" w:after="0" w:line="240"/>
        <w:ind w:right="0"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Hilda would be subject to Canadian tax on her worldwide income during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w:t>
      </w:r>
    </w:p>
    <w:p>
      <w:pPr>
        <w:spacing w:before="5" w:after="0" w:line="240"/>
        <w:ind w:right="0" w:left="0" w:firstLine="0"/>
        <w:jc w:val="left"/>
        <w:rPr>
          <w:rFonts w:ascii="Arial" w:hAnsi="Arial" w:cs="Arial" w:eastAsia="Arial"/>
          <w:color w:val="auto"/>
          <w:spacing w:val="0"/>
          <w:position w:val="0"/>
          <w:sz w:val="23"/>
          <w:shd w:fill="auto" w:val="clear"/>
        </w:rPr>
      </w:pPr>
    </w:p>
    <w:p>
      <w:pPr>
        <w:spacing w:before="0" w:after="0" w:line="240"/>
        <w:ind w:right="0" w:left="247"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E</w:t>
      </w:r>
    </w:p>
    <w:p>
      <w:pPr>
        <w:spacing w:before="14" w:after="0" w:line="259"/>
        <w:ind w:right="573"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Because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she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has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an</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employment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contract</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requires</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her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return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2023</w:t>
      </w:r>
      <w:r>
        <w:rPr>
          <w:rFonts w:ascii="Arial" w:hAnsi="Arial" w:cs="Arial" w:eastAsia="Arial"/>
          <w:color w:val="auto"/>
          <w:spacing w:val="0"/>
          <w:position w:val="0"/>
          <w:sz w:val="20"/>
          <w:shd w:fill="auto" w:val="clear"/>
        </w:rPr>
        <w:t xml:space="preserv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Jessica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will be viewed as having retained Canadian residence status. Although she has severed her ties with Canada, the requirement to return would show that she does not intend to permanently leave Canada.</w:t>
      </w:r>
    </w:p>
    <w:p>
      <w:pPr>
        <w:spacing w:before="103" w:after="0" w:line="240"/>
        <w:ind w:right="0"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Jessica will be subject to Canadian tax on her worldwide income during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w:t>
      </w:r>
    </w:p>
    <w:p>
      <w:pPr>
        <w:spacing w:before="0" w:after="0" w:line="240"/>
        <w:ind w:right="0" w:left="0" w:firstLine="0"/>
        <w:jc w:val="both"/>
        <w:rPr>
          <w:rFonts w:ascii="Arial" w:hAnsi="Arial" w:cs="Arial" w:eastAsia="Arial"/>
          <w:color w:val="auto"/>
          <w:spacing w:val="0"/>
          <w:position w:val="0"/>
          <w:sz w:val="22"/>
          <w:shd w:fill="auto" w:val="clear"/>
        </w:rPr>
      </w:pPr>
    </w:p>
    <w:p>
      <w:pPr>
        <w:spacing w:before="8" w:after="0" w:line="240"/>
        <w:ind w:right="0" w:left="0" w:firstLine="0"/>
        <w:jc w:val="left"/>
        <w:rPr>
          <w:rFonts w:ascii="Arial" w:hAnsi="Arial" w:cs="Arial" w:eastAsia="Arial"/>
          <w:color w:val="auto"/>
          <w:spacing w:val="0"/>
          <w:position w:val="0"/>
          <w:sz w:val="11"/>
          <w:shd w:fill="auto" w:val="clear"/>
        </w:rPr>
      </w:pPr>
    </w:p>
    <w:p>
      <w:pPr>
        <w:spacing w:before="100" w:after="0" w:line="240"/>
        <w:ind w:right="0" w:left="260"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Canada/U.S. Tax Treaty Tie Breaker Rule</w:t>
      </w:r>
    </w:p>
    <w:p>
      <w:pPr>
        <w:spacing w:before="16"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 cases of dual residency for corporations, where a corporation could be considered a resident of both countries, the Canada/U.S. tax treaty indicates that the corporation will be deemed to be a resident only in the country in which it is incorporated.</w:t>
      </w:r>
    </w:p>
    <w:p>
      <w:pPr>
        <w:spacing w:before="1"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60"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A</w:t>
      </w:r>
    </w:p>
    <w:p>
      <w:pPr>
        <w:spacing w:before="15" w:after="0" w:line="259"/>
        <w:ind w:right="575"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mind</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management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Allor</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suggests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company is a resident of Canada. However, as the Allor Company was incorporated in the U.S., it is also a resident of that country. Using the tie breaker rule, the Allor Company will be considered a resident of the U.S. and a non-resident of</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11"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71"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B</w:t>
      </w:r>
    </w:p>
    <w:p>
      <w:pPr>
        <w:spacing w:before="16" w:after="0" w:line="259"/>
        <w:ind w:right="573"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Kodar Ltd. was incorporated in Canada after April </w:t>
      </w:r>
      <w:r>
        <w:rPr>
          <w:rFonts w:ascii="Arial" w:hAnsi="Arial" w:cs="Arial" w:eastAsia="Arial"/>
          <w:color w:val="auto"/>
          <w:spacing w:val="0"/>
          <w:position w:val="0"/>
          <w:sz w:val="20"/>
          <w:shd w:fill="auto" w:val="clear"/>
        </w:rPr>
        <w:t xml:space="preserve">26</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1965</w:t>
      </w:r>
      <w:r>
        <w:rPr>
          <w:rFonts w:ascii="Arial" w:hAnsi="Arial" w:cs="Arial" w:eastAsia="Arial"/>
          <w:color w:val="auto"/>
          <w:spacing w:val="0"/>
          <w:position w:val="0"/>
          <w:sz w:val="20"/>
          <w:shd w:fill="auto" w:val="clear"/>
        </w:rPr>
        <w:t xml:space="preserve">. This means that, under ITA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w:t>
      </w:r>
      <w:r>
        <w:rPr>
          <w:rFonts w:ascii="Arial" w:hAnsi="Arial" w:cs="Arial" w:eastAsia="Arial"/>
          <w:color w:val="auto"/>
          <w:spacing w:val="0"/>
          <w:position w:val="0"/>
          <w:sz w:val="20"/>
          <w:shd w:fill="auto" w:val="clear"/>
        </w:rPr>
        <w:t xml:space="preserve">)(a), Kodar</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Ltd.</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deemed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Because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mind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management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are in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United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States,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also</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considered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U.S.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Using</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tie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breaker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rule,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Kodar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Ltd. will be considered a resident of Canada as it was incorporated in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9"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60"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C</w:t>
      </w:r>
    </w:p>
    <w:p>
      <w:pPr>
        <w:spacing w:before="15" w:after="0" w:line="259"/>
        <w:ind w:right="573"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Karlos</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14"/>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incorporated</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its</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mind</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management</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are</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currently located in Canada. Therefore, Karlos would not be considered a resident of</w:t>
      </w:r>
      <w:r>
        <w:rPr>
          <w:rFonts w:ascii="Arial" w:hAnsi="Arial" w:cs="Arial" w:eastAsia="Arial"/>
          <w:color w:val="auto"/>
          <w:spacing w:val="-19"/>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2"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48" w:firstLine="0"/>
        <w:jc w:val="both"/>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D</w:t>
      </w:r>
    </w:p>
    <w:p>
      <w:pPr>
        <w:spacing w:before="16" w:after="0" w:line="259"/>
        <w:ind w:right="573"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While Bradlee Inc. is not operating in Canada, it was incorporated here prior to April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1965</w:t>
      </w:r>
      <w:r>
        <w:rPr>
          <w:rFonts w:ascii="Arial" w:hAnsi="Arial" w:cs="Arial" w:eastAsia="Arial"/>
          <w:color w:val="auto"/>
          <w:spacing w:val="0"/>
          <w:position w:val="0"/>
          <w:sz w:val="20"/>
          <w:shd w:fill="auto" w:val="clear"/>
        </w:rPr>
        <w:t xml:space="preserve">. If it had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carried</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business</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after</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date,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Canadian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However, it did carry on business in Canada after that date and, as a consequence, it is a deemed resident under ITA</w:t>
      </w:r>
      <w:r>
        <w:rPr>
          <w:rFonts w:ascii="Arial" w:hAnsi="Arial" w:cs="Arial" w:eastAsia="Arial"/>
          <w:color w:val="auto"/>
          <w:spacing w:val="-2"/>
          <w:position w:val="0"/>
          <w:sz w:val="20"/>
          <w:shd w:fill="auto" w:val="clear"/>
        </w:rPr>
        <w:t xml:space="preserve">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w:t>
      </w:r>
      <w:r>
        <w:rPr>
          <w:rFonts w:ascii="Arial" w:hAnsi="Arial" w:cs="Arial" w:eastAsia="Arial"/>
          <w:color w:val="auto"/>
          <w:spacing w:val="0"/>
          <w:position w:val="0"/>
          <w:sz w:val="20"/>
          <w:shd w:fill="auto" w:val="clear"/>
        </w:rPr>
        <w:t xml:space="preserve">)(c).</w:t>
      </w:r>
    </w:p>
    <w:p>
      <w:pPr>
        <w:spacing w:before="95"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mind</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management</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are</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currently</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United</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States,</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also a resident of that country. Under the tie breaker rule, Bradlee Inc. would be a resident of Canada as it was incorporated 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0" w:after="0" w:line="259"/>
        <w:ind w:right="0" w:left="0" w:firstLine="0"/>
        <w:jc w:val="both"/>
        <w:rPr>
          <w:rFonts w:ascii="Arial" w:hAnsi="Arial" w:cs="Arial" w:eastAsia="Arial"/>
          <w:color w:val="auto"/>
          <w:spacing w:val="0"/>
          <w:position w:val="0"/>
          <w:sz w:val="22"/>
          <w:shd w:fill="auto" w:val="clear"/>
        </w:rPr>
      </w:pPr>
    </w:p>
    <w:p>
      <w:pPr>
        <w:spacing w:before="10" w:after="0" w:line="240"/>
        <w:ind w:right="0" w:left="0" w:firstLine="0"/>
        <w:jc w:val="left"/>
        <w:rPr>
          <w:rFonts w:ascii="Arial" w:hAnsi="Arial" w:cs="Arial" w:eastAsia="Arial"/>
          <w:color w:val="auto"/>
          <w:spacing w:val="0"/>
          <w:position w:val="0"/>
          <w:sz w:val="11"/>
          <w:shd w:fill="auto" w:val="clear"/>
        </w:rPr>
      </w:pPr>
    </w:p>
    <w:p>
      <w:pPr>
        <w:spacing w:before="10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A</w:t>
      </w:r>
    </w:p>
    <w:p>
      <w:pPr>
        <w:spacing w:before="14" w:after="0" w:line="259"/>
        <w:ind w:right="576"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Brian Palm would be considered a part year resident of Canada until July </w:t>
      </w:r>
      <w:r>
        <w:rPr>
          <w:rFonts w:ascii="Arial" w:hAnsi="Arial" w:cs="Arial" w:eastAsia="Arial"/>
          <w:color w:val="auto"/>
          <w:spacing w:val="0"/>
          <w:position w:val="0"/>
          <w:sz w:val="20"/>
          <w:shd w:fill="auto" w:val="clear"/>
        </w:rPr>
        <w:t xml:space="preserve">31</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the date of his departure, and would be taxed on his worldwide income for this period. As his presence in Canada during the first part of the year was on a full time basis, he would not fall under the sojourning rules.</w:t>
      </w:r>
    </w:p>
    <w:p>
      <w:pPr>
        <w:spacing w:before="10"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B</w:t>
      </w:r>
    </w:p>
    <w:p>
      <w:pPr>
        <w:spacing w:before="14" w:after="0" w:line="259"/>
        <w:ind w:right="575"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Rachel is a deemed resident of Canada under ITA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)(b). As Gunter is exempt from German taxation because he is related to Rachel, he is also considered a deemed resident of Canada under ITA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)(g).</w:t>
      </w:r>
    </w:p>
    <w:p>
      <w:pPr>
        <w:spacing w:before="10"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C</w:t>
      </w:r>
    </w:p>
    <w:p>
      <w:pPr>
        <w:spacing w:before="14" w:after="0" w:line="259"/>
        <w:ind w:right="572"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 she is present in Canada on a temporary basis for more than </w:t>
      </w:r>
      <w:r>
        <w:rPr>
          <w:rFonts w:ascii="Arial" w:hAnsi="Arial" w:cs="Arial" w:eastAsia="Arial"/>
          <w:color w:val="auto"/>
          <w:spacing w:val="0"/>
          <w:position w:val="0"/>
          <w:sz w:val="20"/>
          <w:shd w:fill="auto" w:val="clear"/>
        </w:rPr>
        <w:t xml:space="preserve">183</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days per year, she would be considered a sojourner. Under ITA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)(a), this would make her a Canadian resident for income tax purposes for all of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w:t>
      </w:r>
    </w:p>
    <w:p>
      <w:pPr>
        <w:spacing w:before="0"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D</w:t>
      </w:r>
    </w:p>
    <w:p>
      <w:pPr>
        <w:spacing w:before="14" w:after="0" w:line="259"/>
        <w:ind w:right="566"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Martha would be a Canadian resident for income tax purposes during </w:t>
      </w:r>
      <w:r>
        <w:rPr>
          <w:rFonts w:ascii="Arial" w:hAnsi="Arial" w:cs="Arial" w:eastAsia="Arial"/>
          <w:color w:val="auto"/>
          <w:spacing w:val="0"/>
          <w:position w:val="0"/>
          <w:sz w:val="20"/>
          <w:shd w:fill="auto" w:val="clear"/>
        </w:rPr>
        <w:t xml:space="preserve">2020</w:t>
      </w:r>
      <w:r>
        <w:rPr>
          <w:rFonts w:ascii="Arial" w:hAnsi="Arial" w:cs="Arial" w:eastAsia="Arial"/>
          <w:color w:val="auto"/>
          <w:spacing w:val="0"/>
          <w:position w:val="0"/>
          <w:sz w:val="20"/>
          <w:shd w:fill="auto" w:val="clear"/>
        </w:rPr>
        <w:t xml:space="preserve">. An individual is not considered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have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departed</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from</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until</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latest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departure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date,</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date</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departure for their spouse and children, and the date on which residence is established in a different country. As her family is staying in Canada and Martha will not be establishing residency in another country, she will remain a Canadian resident during her trip. The fact that she is a U.S. citizen is irrelevant to her residency</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status.</w:t>
      </w:r>
    </w:p>
    <w:p>
      <w:pPr>
        <w:spacing w:before="8"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E</w:t>
      </w:r>
    </w:p>
    <w:p>
      <w:pPr>
        <w:spacing w:before="15" w:after="0" w:line="259"/>
        <w:ind w:right="573" w:left="24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ITA</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250</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w:t>
      </w:r>
      <w:r>
        <w:rPr>
          <w:rFonts w:ascii="Arial" w:hAnsi="Arial" w:cs="Arial" w:eastAsia="Arial"/>
          <w:color w:val="auto"/>
          <w:spacing w:val="0"/>
          <w:position w:val="0"/>
          <w:sz w:val="20"/>
          <w:shd w:fill="auto" w:val="clear"/>
        </w:rPr>
        <w:t xml:space="preserve">)(c)</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indicates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corporation</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if</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incorporated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prior to April </w:t>
      </w:r>
      <w:r>
        <w:rPr>
          <w:rFonts w:ascii="Arial" w:hAnsi="Arial" w:cs="Arial" w:eastAsia="Arial"/>
          <w:color w:val="auto"/>
          <w:spacing w:val="0"/>
          <w:position w:val="0"/>
          <w:sz w:val="20"/>
          <w:shd w:fill="auto" w:val="clear"/>
        </w:rPr>
        <w:t xml:space="preserve">27</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1965</w:t>
      </w:r>
      <w:r>
        <w:rPr>
          <w:rFonts w:ascii="Arial" w:hAnsi="Arial" w:cs="Arial" w:eastAsia="Arial"/>
          <w:color w:val="auto"/>
          <w:spacing w:val="0"/>
          <w:position w:val="0"/>
          <w:sz w:val="20"/>
          <w:shd w:fill="auto" w:val="clear"/>
        </w:rPr>
        <w:t xml:space="preserve">, and carried on business, or was resident in Canada, in any year ending after April </w:t>
      </w:r>
      <w:r>
        <w:rPr>
          <w:rFonts w:ascii="Arial" w:hAnsi="Arial" w:cs="Arial" w:eastAsia="Arial"/>
          <w:color w:val="auto"/>
          <w:spacing w:val="0"/>
          <w:position w:val="0"/>
          <w:sz w:val="20"/>
          <w:shd w:fill="auto" w:val="clear"/>
        </w:rPr>
        <w:t xml:space="preserve">26</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1965</w:t>
      </w:r>
      <w:r>
        <w:rPr>
          <w:rFonts w:ascii="Arial" w:hAnsi="Arial" w:cs="Arial" w:eastAsia="Arial"/>
          <w:color w:val="auto"/>
          <w:spacing w:val="0"/>
          <w:position w:val="0"/>
          <w:sz w:val="20"/>
          <w:shd w:fill="auto" w:val="clear"/>
        </w:rPr>
        <w:t xml:space="preserve">. However, as the mind and the management of the company is in the U.S., it is also a resident of that country. In cases of dual residency for corporations, where a corporation could be considered</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both</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countries,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Canada/U.S.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tax</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treaty</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indicates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corporation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will be deemed to be a resident only in the country in which it is incorporated. Given this, Bronson Inc. would be a resident 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6"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Part F</w:t>
      </w:r>
    </w:p>
    <w:p>
      <w:pPr>
        <w:spacing w:before="14" w:after="0" w:line="261"/>
        <w:ind w:right="576" w:left="247"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incorporated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mind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and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management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company</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not in Canada. Ubex Ltd. is not a resident of</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0" w:after="0" w:line="261"/>
        <w:ind w:right="0" w:left="0" w:firstLine="0"/>
        <w:jc w:val="both"/>
        <w:rPr>
          <w:rFonts w:ascii="Arial" w:hAnsi="Arial" w:cs="Arial" w:eastAsia="Arial"/>
          <w:color w:val="auto"/>
          <w:spacing w:val="0"/>
          <w:position w:val="0"/>
          <w:sz w:val="22"/>
          <w:shd w:fill="auto" w:val="clear"/>
        </w:rPr>
      </w:pPr>
    </w:p>
    <w:p>
      <w:pPr>
        <w:spacing w:before="10" w:after="0" w:line="240"/>
        <w:ind w:right="0" w:left="0" w:firstLine="0"/>
        <w:jc w:val="left"/>
        <w:rPr>
          <w:rFonts w:ascii="Arial" w:hAnsi="Arial" w:cs="Arial" w:eastAsia="Arial"/>
          <w:color w:val="auto"/>
          <w:spacing w:val="0"/>
          <w:position w:val="0"/>
          <w:sz w:val="11"/>
          <w:shd w:fill="auto" w:val="clear"/>
        </w:rPr>
      </w:pPr>
    </w:p>
    <w:p>
      <w:pPr>
        <w:spacing w:before="98" w:after="0" w:line="261"/>
        <w:ind w:right="548" w:left="26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 cases of dual residency, the Canada/U.S. tax treaty has tie breaker rules. Under these rules residence would be determined by applying criteria in the following order:</w:t>
      </w:r>
    </w:p>
    <w:p>
      <w:pPr>
        <w:numPr>
          <w:ilvl w:val="0"/>
          <w:numId w:val="218"/>
        </w:numPr>
        <w:tabs>
          <w:tab w:val="left" w:pos="1101" w:leader="none"/>
        </w:tabs>
        <w:spacing w:before="92" w:after="0" w:line="256"/>
        <w:ind w:right="736" w:left="1100" w:hanging="36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Permanent Home</w:t>
      </w:r>
      <w:r>
        <w:rPr>
          <w:rFonts w:ascii="Arial" w:hAnsi="Arial" w:cs="Arial" w:eastAsia="Arial"/>
          <w:b/>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If the individual has a permanent home available in only one country, the individual will be considered a resident of that country. A permanent home means a dwelling,</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rented</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or</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purchased,</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continuously</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available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at</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all</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times.</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purpose, a</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home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only</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used</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short</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duration</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not</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considered</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permanent home.</w:t>
      </w:r>
    </w:p>
    <w:p>
      <w:pPr>
        <w:numPr>
          <w:ilvl w:val="0"/>
          <w:numId w:val="218"/>
        </w:numPr>
        <w:tabs>
          <w:tab w:val="left" w:pos="1100" w:leader="none"/>
        </w:tabs>
        <w:spacing w:before="101" w:after="0" w:line="256"/>
        <w:ind w:right="617" w:left="1099" w:hanging="36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Centre of Vital Interests </w:t>
      </w:r>
      <w:r>
        <w:rPr>
          <w:rFonts w:ascii="Arial" w:hAnsi="Arial" w:cs="Arial" w:eastAsia="Arial"/>
          <w:color w:val="auto"/>
          <w:spacing w:val="0"/>
          <w:position w:val="0"/>
          <w:sz w:val="20"/>
          <w:shd w:fill="auto" w:val="clear"/>
        </w:rPr>
        <w:t xml:space="preserve">If the individual has permanent homes in both countries, or in neither, then this test looks to the country in which the individual</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s personal and economic relations are greatest. Such relations are virtually identical to the ties that are examined when determining factual residence for</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individuals.</w:t>
      </w:r>
    </w:p>
    <w:p>
      <w:pPr>
        <w:numPr>
          <w:ilvl w:val="0"/>
          <w:numId w:val="218"/>
        </w:numPr>
        <w:tabs>
          <w:tab w:val="left" w:pos="1100" w:leader="none"/>
        </w:tabs>
        <w:spacing w:before="99" w:after="0" w:line="254"/>
        <w:ind w:right="617" w:left="1099" w:hanging="36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Habitual Abode </w:t>
      </w:r>
      <w:r>
        <w:rPr>
          <w:rFonts w:ascii="Arial" w:hAnsi="Arial" w:cs="Arial" w:eastAsia="Arial"/>
          <w:color w:val="auto"/>
          <w:spacing w:val="0"/>
          <w:position w:val="0"/>
          <w:sz w:val="20"/>
          <w:shd w:fill="auto" w:val="clear"/>
        </w:rPr>
        <w:t xml:space="preserve">If the first two tests do not yield a determination, then the country where the individual spends more time will be considered the country of</w:t>
      </w:r>
      <w:r>
        <w:rPr>
          <w:rFonts w:ascii="Arial" w:hAnsi="Arial" w:cs="Arial" w:eastAsia="Arial"/>
          <w:color w:val="auto"/>
          <w:spacing w:val="-18"/>
          <w:position w:val="0"/>
          <w:sz w:val="20"/>
          <w:shd w:fill="auto" w:val="clear"/>
        </w:rPr>
        <w:t xml:space="preserve"> </w:t>
      </w:r>
      <w:r>
        <w:rPr>
          <w:rFonts w:ascii="Arial" w:hAnsi="Arial" w:cs="Arial" w:eastAsia="Arial"/>
          <w:color w:val="auto"/>
          <w:spacing w:val="0"/>
          <w:position w:val="0"/>
          <w:sz w:val="20"/>
          <w:shd w:fill="auto" w:val="clear"/>
        </w:rPr>
        <w:t xml:space="preserve">residence.</w:t>
      </w:r>
    </w:p>
    <w:p>
      <w:pPr>
        <w:numPr>
          <w:ilvl w:val="0"/>
          <w:numId w:val="218"/>
        </w:numPr>
        <w:tabs>
          <w:tab w:val="left" w:pos="1100" w:leader="none"/>
        </w:tabs>
        <w:spacing w:before="103" w:after="0" w:line="254"/>
        <w:ind w:right="620" w:left="1099" w:hanging="36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Citizenship </w:t>
      </w:r>
      <w:r>
        <w:rPr>
          <w:rFonts w:ascii="Arial" w:hAnsi="Arial" w:cs="Arial" w:eastAsia="Arial"/>
          <w:color w:val="auto"/>
          <w:spacing w:val="0"/>
          <w:position w:val="0"/>
          <w:sz w:val="20"/>
          <w:shd w:fill="auto" w:val="clear"/>
        </w:rPr>
        <w:t xml:space="preserve">If the tie breaker rules still fail to resolve the issue, then the individual will be considered a resident of the country where the individual is a</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citizen.</w:t>
      </w:r>
    </w:p>
    <w:p>
      <w:pPr>
        <w:numPr>
          <w:ilvl w:val="0"/>
          <w:numId w:val="218"/>
        </w:numPr>
        <w:tabs>
          <w:tab w:val="left" w:pos="1100" w:leader="none"/>
        </w:tabs>
        <w:spacing w:before="103" w:after="0" w:line="256"/>
        <w:ind w:right="617" w:left="1099" w:hanging="360"/>
        <w:jc w:val="both"/>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Competent Authority </w:t>
      </w:r>
      <w:r>
        <w:rPr>
          <w:rFonts w:ascii="Arial" w:hAnsi="Arial" w:cs="Arial" w:eastAsia="Arial"/>
          <w:color w:val="auto"/>
          <w:spacing w:val="0"/>
          <w:position w:val="0"/>
          <w:sz w:val="20"/>
          <w:shd w:fill="auto" w:val="clear"/>
        </w:rPr>
        <w:t xml:space="preserve">If none of the preceding tests resolve the question of residency then, as a last resort, the so-called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competent authority procedures</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are used. Without describing them in detail, these procedures are aimed at opening a dialogue between the two countries for the purpose of resolving 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conflict.</w:t>
      </w:r>
    </w:p>
    <w:p>
      <w:pPr>
        <w:spacing w:before="6" w:after="0" w:line="240"/>
        <w:ind w:right="0" w:left="0" w:firstLine="0"/>
        <w:jc w:val="left"/>
        <w:rPr>
          <w:rFonts w:ascii="Arial" w:hAnsi="Arial" w:cs="Arial" w:eastAsia="Arial"/>
          <w:color w:val="auto"/>
          <w:spacing w:val="0"/>
          <w:position w:val="0"/>
          <w:sz w:val="12"/>
          <w:shd w:fill="auto" w:val="clear"/>
        </w:rPr>
      </w:pPr>
    </w:p>
    <w:p>
      <w:pPr>
        <w:spacing w:before="101"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A</w:t>
      </w:r>
    </w:p>
    <w:p>
      <w:pPr>
        <w:spacing w:before="15" w:after="0" w:line="259"/>
        <w:ind w:right="573"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Ty</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was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more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183</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days,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deemed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through</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application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the sojourner</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rule.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means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3"/>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likely</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considered</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both</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United</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States</w:t>
      </w:r>
      <w:r>
        <w:rPr>
          <w:rFonts w:ascii="Arial" w:hAnsi="Arial" w:cs="Arial" w:eastAsia="Arial"/>
          <w:color w:val="auto"/>
          <w:spacing w:val="-4"/>
          <w:position w:val="0"/>
          <w:sz w:val="20"/>
          <w:shd w:fill="auto" w:val="clear"/>
        </w:rPr>
        <w:t xml:space="preserve"> </w:t>
      </w:r>
      <w:r>
        <w:rPr>
          <w:rFonts w:ascii="Arial" w:hAnsi="Arial" w:cs="Arial" w:eastAsia="Arial"/>
          <w:color w:val="auto"/>
          <w:spacing w:val="0"/>
          <w:position w:val="0"/>
          <w:sz w:val="20"/>
          <w:shd w:fill="auto" w:val="clear"/>
        </w:rPr>
        <w:t xml:space="preserve">and Canada. In such situations, the tie breaker rules would be</w:t>
      </w:r>
      <w:r>
        <w:rPr>
          <w:rFonts w:ascii="Arial" w:hAnsi="Arial" w:cs="Arial" w:eastAsia="Arial"/>
          <w:color w:val="auto"/>
          <w:spacing w:val="-13"/>
          <w:position w:val="0"/>
          <w:sz w:val="20"/>
          <w:shd w:fill="auto" w:val="clear"/>
        </w:rPr>
        <w:t xml:space="preserve"> </w:t>
      </w:r>
      <w:r>
        <w:rPr>
          <w:rFonts w:ascii="Arial" w:hAnsi="Arial" w:cs="Arial" w:eastAsia="Arial"/>
          <w:color w:val="auto"/>
          <w:spacing w:val="0"/>
          <w:position w:val="0"/>
          <w:sz w:val="20"/>
          <w:shd w:fill="auto" w:val="clear"/>
        </w:rPr>
        <w:t xml:space="preserve">applicable</w:t>
      </w:r>
    </w:p>
    <w:p>
      <w:pPr>
        <w:spacing w:before="97" w:after="0" w:line="259"/>
        <w:ind w:right="563"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It does not appear that Ty has a permanent home, a centre of vital interests, or a habitual abode. Therefore,</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it</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appear</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fact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that</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Ty</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10"/>
          <w:position w:val="0"/>
          <w:sz w:val="20"/>
          <w:shd w:fill="auto" w:val="clear"/>
        </w:rPr>
        <w:t xml:space="preserve"> </w:t>
      </w:r>
      <w:r>
        <w:rPr>
          <w:rFonts w:ascii="Arial" w:hAnsi="Arial" w:cs="Arial" w:eastAsia="Arial"/>
          <w:color w:val="auto"/>
          <w:spacing w:val="0"/>
          <w:position w:val="0"/>
          <w:sz w:val="20"/>
          <w:shd w:fill="auto" w:val="clear"/>
        </w:rPr>
        <w:t xml:space="preserve">citizen</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U.S.</w:t>
      </w:r>
      <w:r>
        <w:rPr>
          <w:rFonts w:ascii="Arial" w:hAnsi="Arial" w:cs="Arial" w:eastAsia="Arial"/>
          <w:color w:val="auto"/>
          <w:spacing w:val="-12"/>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determining</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factor. This treaty result would override the sojourner rule, making Ty a non-resident of</w:t>
      </w:r>
      <w:r>
        <w:rPr>
          <w:rFonts w:ascii="Arial" w:hAnsi="Arial" w:cs="Arial" w:eastAsia="Arial"/>
          <w:color w:val="auto"/>
          <w:spacing w:val="-24"/>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10" w:after="0" w:line="240"/>
        <w:ind w:right="0" w:left="0" w:firstLine="0"/>
        <w:jc w:val="left"/>
        <w:rPr>
          <w:rFonts w:ascii="Arial" w:hAnsi="Arial" w:cs="Arial" w:eastAsia="Arial"/>
          <w:color w:val="auto"/>
          <w:spacing w:val="0"/>
          <w:position w:val="0"/>
          <w:sz w:val="20"/>
          <w:shd w:fill="auto" w:val="clear"/>
        </w:rPr>
      </w:pPr>
    </w:p>
    <w:p>
      <w:pPr>
        <w:spacing w:before="0"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B</w:t>
      </w:r>
    </w:p>
    <w:p>
      <w:pPr>
        <w:spacing w:before="16"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As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he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Canada</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for</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more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than</w:t>
      </w:r>
      <w:r>
        <w:rPr>
          <w:rFonts w:ascii="Arial" w:hAnsi="Arial" w:cs="Arial" w:eastAsia="Arial"/>
          <w:color w:val="auto"/>
          <w:spacing w:val="-7"/>
          <w:position w:val="0"/>
          <w:sz w:val="20"/>
          <w:shd w:fill="auto" w:val="clear"/>
        </w:rPr>
        <w:t xml:space="preserve"> </w:t>
      </w:r>
      <w:r>
        <w:rPr>
          <w:rFonts w:ascii="Arial" w:hAnsi="Arial" w:cs="Arial" w:eastAsia="Arial"/>
          <w:color w:val="auto"/>
          <w:spacing w:val="0"/>
          <w:position w:val="0"/>
          <w:sz w:val="20"/>
          <w:shd w:fill="auto" w:val="clear"/>
        </w:rPr>
        <w:t xml:space="preserve">183</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days,</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Jordan</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would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be</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w:t>
      </w:r>
      <w:r>
        <w:rPr>
          <w:rFonts w:ascii="Arial" w:hAnsi="Arial" w:cs="Arial" w:eastAsia="Arial"/>
          <w:color w:val="auto"/>
          <w:spacing w:val="-9"/>
          <w:position w:val="0"/>
          <w:sz w:val="20"/>
          <w:shd w:fill="auto" w:val="clear"/>
        </w:rPr>
        <w:t xml:space="preserve"> </w:t>
      </w:r>
      <w:r>
        <w:rPr>
          <w:rFonts w:ascii="Arial" w:hAnsi="Arial" w:cs="Arial" w:eastAsia="Arial"/>
          <w:color w:val="auto"/>
          <w:spacing w:val="0"/>
          <w:position w:val="0"/>
          <w:sz w:val="20"/>
          <w:shd w:fill="auto" w:val="clear"/>
        </w:rPr>
        <w:t xml:space="preserve">deemed</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Canadian</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resident</w:t>
      </w:r>
      <w:r>
        <w:rPr>
          <w:rFonts w:ascii="Arial" w:hAnsi="Arial" w:cs="Arial" w:eastAsia="Arial"/>
          <w:color w:val="auto"/>
          <w:spacing w:val="-8"/>
          <w:position w:val="0"/>
          <w:sz w:val="20"/>
          <w:shd w:fill="auto" w:val="clear"/>
        </w:rPr>
        <w:t xml:space="preserve"> </w:t>
      </w:r>
      <w:r>
        <w:rPr>
          <w:rFonts w:ascii="Arial" w:hAnsi="Arial" w:cs="Arial" w:eastAsia="Arial"/>
          <w:color w:val="auto"/>
          <w:spacing w:val="0"/>
          <w:position w:val="0"/>
          <w:sz w:val="20"/>
          <w:shd w:fill="auto" w:val="clear"/>
        </w:rPr>
        <w:t xml:space="preserve">under</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the sojourner rules. As in Case A, it is likely that he would be considered a resident in both countries. Given this the tie breaker rules would be applicable. As Jordan appears to have a permanent home in Kalispell, these rules would make him a resident of the United States. This treaty result would override the sojourner rule, making Jordan a non-resident of</w:t>
      </w:r>
      <w:r>
        <w:rPr>
          <w:rFonts w:ascii="Arial" w:hAnsi="Arial" w:cs="Arial" w:eastAsia="Arial"/>
          <w:color w:val="auto"/>
          <w:spacing w:val="-11"/>
          <w:position w:val="0"/>
          <w:sz w:val="20"/>
          <w:shd w:fill="auto" w:val="clear"/>
        </w:rPr>
        <w:t xml:space="preserve"> </w:t>
      </w:r>
      <w:r>
        <w:rPr>
          <w:rFonts w:ascii="Arial" w:hAnsi="Arial" w:cs="Arial" w:eastAsia="Arial"/>
          <w:color w:val="auto"/>
          <w:spacing w:val="0"/>
          <w:position w:val="0"/>
          <w:sz w:val="20"/>
          <w:shd w:fill="auto" w:val="clear"/>
        </w:rPr>
        <w:t xml:space="preserve">Canada.</w:t>
      </w:r>
    </w:p>
    <w:p>
      <w:pPr>
        <w:spacing w:before="0" w:after="0" w:line="259"/>
        <w:ind w:right="0" w:left="0" w:firstLine="0"/>
        <w:jc w:val="both"/>
        <w:rPr>
          <w:rFonts w:ascii="Arial" w:hAnsi="Arial" w:cs="Arial" w:eastAsia="Arial"/>
          <w:color w:val="auto"/>
          <w:spacing w:val="0"/>
          <w:position w:val="0"/>
          <w:sz w:val="22"/>
          <w:shd w:fill="auto" w:val="clear"/>
        </w:rPr>
      </w:pPr>
    </w:p>
    <w:p>
      <w:pPr>
        <w:spacing w:before="8" w:after="0" w:line="240"/>
        <w:ind w:right="0" w:left="0" w:firstLine="0"/>
        <w:jc w:val="left"/>
        <w:rPr>
          <w:rFonts w:ascii="Arial" w:hAnsi="Arial" w:cs="Arial" w:eastAsia="Arial"/>
          <w:color w:val="auto"/>
          <w:spacing w:val="0"/>
          <w:position w:val="0"/>
          <w:sz w:val="12"/>
          <w:shd w:fill="auto" w:val="clear"/>
        </w:rPr>
      </w:pPr>
    </w:p>
    <w:p>
      <w:pPr>
        <w:spacing w:before="101"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Step </w:t>
      </w:r>
      <w:r>
        <w:rPr>
          <w:rFonts w:ascii="Arial" w:hAnsi="Arial" w:cs="Arial" w:eastAsia="Arial"/>
          <w:b/>
          <w:i/>
          <w:color w:val="auto"/>
          <w:spacing w:val="0"/>
          <w:position w:val="0"/>
          <w:sz w:val="20"/>
          <w:shd w:fill="auto" w:val="clear"/>
        </w:rPr>
        <w:t xml:space="preserve">1</w:t>
      </w:r>
    </w:p>
    <w:p>
      <w:pPr>
        <w:spacing w:before="15" w:after="0" w:line="259"/>
        <w:ind w:right="574"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calculation begins by adding together all positive sources of income, other than taxable capital gains. This includes employment income, business income, property income, and other sources of income as described in Subdivision d of the </w:t>
      </w:r>
      <w:r>
        <w:rPr>
          <w:rFonts w:ascii="Arial" w:hAnsi="Arial" w:cs="Arial" w:eastAsia="Arial"/>
          <w:i/>
          <w:color w:val="auto"/>
          <w:spacing w:val="0"/>
          <w:position w:val="0"/>
          <w:sz w:val="20"/>
          <w:shd w:fill="auto" w:val="clear"/>
        </w:rPr>
        <w:t xml:space="preserve">Income Tax Act</w:t>
      </w:r>
      <w:r>
        <w:rPr>
          <w:rFonts w:ascii="Arial" w:hAnsi="Arial" w:cs="Arial" w:eastAsia="Arial"/>
          <w:color w:val="auto"/>
          <w:spacing w:val="0"/>
          <w:position w:val="0"/>
          <w:sz w:val="20"/>
          <w:shd w:fill="auto" w:val="clear"/>
        </w:rPr>
        <w:t xml:space="preserve">.</w:t>
      </w:r>
    </w:p>
    <w:p>
      <w:pPr>
        <w:spacing w:before="0"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Step </w:t>
      </w:r>
      <w:r>
        <w:rPr>
          <w:rFonts w:ascii="Arial" w:hAnsi="Arial" w:cs="Arial" w:eastAsia="Arial"/>
          <w:b/>
          <w:i/>
          <w:color w:val="auto"/>
          <w:spacing w:val="0"/>
          <w:position w:val="0"/>
          <w:sz w:val="20"/>
          <w:shd w:fill="auto" w:val="clear"/>
        </w:rPr>
        <w:t xml:space="preserve">2</w:t>
      </w:r>
    </w:p>
    <w:p>
      <w:pPr>
        <w:spacing w:before="15" w:after="0" w:line="259"/>
        <w:ind w:right="577"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amount</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taxable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capital</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gains,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any,</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in</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excess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allowable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capital</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losses</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is</w:t>
      </w:r>
      <w:r>
        <w:rPr>
          <w:rFonts w:ascii="Arial" w:hAnsi="Arial" w:cs="Arial" w:eastAsia="Arial"/>
          <w:color w:val="auto"/>
          <w:spacing w:val="-6"/>
          <w:position w:val="0"/>
          <w:sz w:val="20"/>
          <w:shd w:fill="auto" w:val="clear"/>
        </w:rPr>
        <w:t xml:space="preserve"> </w:t>
      </w:r>
      <w:r>
        <w:rPr>
          <w:rFonts w:ascii="Arial" w:hAnsi="Arial" w:cs="Arial" w:eastAsia="Arial"/>
          <w:color w:val="auto"/>
          <w:spacing w:val="0"/>
          <w:position w:val="0"/>
          <w:sz w:val="20"/>
          <w:shd w:fill="auto" w:val="clear"/>
        </w:rPr>
        <w:t xml:space="preserve">added</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to</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the</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total determined in Step</w:t>
      </w:r>
      <w:r>
        <w:rPr>
          <w:rFonts w:ascii="Arial" w:hAnsi="Arial" w:cs="Arial" w:eastAsia="Arial"/>
          <w:color w:val="auto"/>
          <w:spacing w:val="-5"/>
          <w:position w:val="0"/>
          <w:sz w:val="20"/>
          <w:shd w:fill="auto" w:val="clear"/>
        </w:rPr>
        <w:t xml:space="preserve"> </w:t>
      </w:r>
      <w:r>
        <w:rPr>
          <w:rFonts w:ascii="Arial" w:hAnsi="Arial" w:cs="Arial" w:eastAsia="Arial"/>
          <w:color w:val="auto"/>
          <w:spacing w:val="0"/>
          <w:position w:val="0"/>
          <w:sz w:val="20"/>
          <w:shd w:fill="auto" w:val="clear"/>
        </w:rPr>
        <w:t xml:space="preserve">1</w:t>
      </w:r>
      <w:r>
        <w:rPr>
          <w:rFonts w:ascii="Arial" w:hAnsi="Arial" w:cs="Arial" w:eastAsia="Arial"/>
          <w:color w:val="auto"/>
          <w:spacing w:val="0"/>
          <w:position w:val="0"/>
          <w:sz w:val="20"/>
          <w:shd w:fill="auto" w:val="clear"/>
        </w:rPr>
        <w:t xml:space="preserve">.</w:t>
      </w:r>
    </w:p>
    <w:p>
      <w:pPr>
        <w:spacing w:before="3" w:after="0" w:line="240"/>
        <w:ind w:right="0" w:left="0" w:firstLine="0"/>
        <w:jc w:val="left"/>
        <w:rPr>
          <w:rFonts w:ascii="Arial" w:hAnsi="Arial" w:cs="Arial" w:eastAsia="Arial"/>
          <w:color w:val="auto"/>
          <w:spacing w:val="0"/>
          <w:position w:val="0"/>
          <w:sz w:val="21"/>
          <w:shd w:fill="auto" w:val="clear"/>
        </w:rPr>
      </w:pPr>
    </w:p>
    <w:p>
      <w:pPr>
        <w:spacing w:before="1"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Step </w:t>
      </w:r>
      <w:r>
        <w:rPr>
          <w:rFonts w:ascii="Arial" w:hAnsi="Arial" w:cs="Arial" w:eastAsia="Arial"/>
          <w:b/>
          <w:i/>
          <w:color w:val="auto"/>
          <w:spacing w:val="0"/>
          <w:position w:val="0"/>
          <w:sz w:val="20"/>
          <w:shd w:fill="auto" w:val="clear"/>
        </w:rPr>
        <w:t xml:space="preserve">3</w:t>
      </w:r>
    </w:p>
    <w:p>
      <w:pPr>
        <w:spacing w:before="16" w:after="0" w:line="259"/>
        <w:ind w:right="577"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From the total, if any, determined in Step </w:t>
      </w:r>
      <w:r>
        <w:rPr>
          <w:rFonts w:ascii="Arial" w:hAnsi="Arial" w:cs="Arial" w:eastAsia="Arial"/>
          <w:color w:val="auto"/>
          <w:spacing w:val="0"/>
          <w:position w:val="0"/>
          <w:sz w:val="20"/>
          <w:shd w:fill="auto" w:val="clear"/>
        </w:rPr>
        <w:t xml:space="preserve">2</w:t>
      </w:r>
      <w:r>
        <w:rPr>
          <w:rFonts w:ascii="Arial" w:hAnsi="Arial" w:cs="Arial" w:eastAsia="Arial"/>
          <w:color w:val="auto"/>
          <w:spacing w:val="0"/>
          <w:position w:val="0"/>
          <w:sz w:val="20"/>
          <w:shd w:fill="auto" w:val="clear"/>
        </w:rPr>
        <w:t xml:space="preserve">, subtract all Subdivision e deductions. These include spousal support paid, moving expenses, child care costs, and RRSP contributions.</w:t>
      </w:r>
    </w:p>
    <w:p>
      <w:pPr>
        <w:spacing w:before="9"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Step </w:t>
      </w:r>
      <w:r>
        <w:rPr>
          <w:rFonts w:ascii="Arial" w:hAnsi="Arial" w:cs="Arial" w:eastAsia="Arial"/>
          <w:b/>
          <w:i/>
          <w:color w:val="auto"/>
          <w:spacing w:val="0"/>
          <w:position w:val="0"/>
          <w:sz w:val="20"/>
          <w:shd w:fill="auto" w:val="clear"/>
        </w:rPr>
        <w:t xml:space="preserve">4</w:t>
      </w:r>
    </w:p>
    <w:p>
      <w:pPr>
        <w:spacing w:before="16" w:after="0" w:line="259"/>
        <w:ind w:right="575" w:left="258"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If an amount remains after subtracting the Subdivision e amounts, all losses, other than allowable capital losses, will be deducted from that amount. This includes business losses, property losses, employment losses, and allowable business investment losses.</w:t>
      </w:r>
    </w:p>
    <w:p>
      <w:pPr>
        <w:spacing w:before="96" w:after="0" w:line="259"/>
        <w:ind w:right="574" w:left="258" w:firstLine="0"/>
        <w:jc w:val="both"/>
        <w:rPr>
          <w:rFonts w:ascii="Calibri" w:hAnsi="Calibri" w:cs="Calibri" w:eastAsia="Calibri"/>
          <w:color w:val="auto"/>
          <w:spacing w:val="0"/>
          <w:position w:val="0"/>
          <w:sz w:val="20"/>
          <w:shd w:fill="auto" w:val="clear"/>
        </w:rPr>
      </w:pPr>
      <w:r>
        <w:rPr>
          <w:rFonts w:ascii="Arial" w:hAnsi="Arial" w:cs="Arial" w:eastAsia="Arial"/>
          <w:color w:val="auto"/>
          <w:spacing w:val="0"/>
          <w:position w:val="0"/>
          <w:sz w:val="20"/>
          <w:shd w:fill="auto" w:val="clear"/>
        </w:rPr>
        <w:t xml:space="preserve">If a positive amount remains after Step </w:t>
      </w:r>
      <w:r>
        <w:rPr>
          <w:rFonts w:ascii="Arial" w:hAnsi="Arial" w:cs="Arial" w:eastAsia="Arial"/>
          <w:color w:val="auto"/>
          <w:spacing w:val="0"/>
          <w:position w:val="0"/>
          <w:sz w:val="20"/>
          <w:shd w:fill="auto" w:val="clear"/>
        </w:rPr>
        <w:t xml:space="preserve">4</w:t>
      </w:r>
      <w:r>
        <w:rPr>
          <w:rFonts w:ascii="Arial" w:hAnsi="Arial" w:cs="Arial" w:eastAsia="Arial"/>
          <w:color w:val="auto"/>
          <w:spacing w:val="0"/>
          <w:position w:val="0"/>
          <w:sz w:val="20"/>
          <w:shd w:fill="auto" w:val="clear"/>
        </w:rPr>
        <w:t xml:space="preserve">, that amount will be the individual</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Net Income For Tax Purposes for the year. If a positive amount does not remain, the individual</w:t>
      </w:r>
      <w:r>
        <w:rPr>
          <w:rFonts w:ascii="Arial" w:hAnsi="Arial" w:cs="Arial" w:eastAsia="Arial"/>
          <w:color w:val="auto"/>
          <w:spacing w:val="0"/>
          <w:position w:val="0"/>
          <w:sz w:val="20"/>
          <w:shd w:fill="auto" w:val="clear"/>
        </w:rPr>
        <w:t xml:space="preserve">’</w:t>
      </w:r>
      <w:r>
        <w:rPr>
          <w:rFonts w:ascii="Calibri" w:hAnsi="Calibri" w:cs="Calibri" w:eastAsia="Calibri"/>
          <w:color w:val="auto"/>
          <w:spacing w:val="0"/>
          <w:position w:val="0"/>
          <w:sz w:val="20"/>
          <w:shd w:fill="auto" w:val="clear"/>
        </w:rPr>
        <w:t xml:space="preserve">s Net Income For Tax Purposes is nil for the year.</w:t>
      </w:r>
    </w:p>
    <w:p>
      <w:pPr>
        <w:spacing w:before="0" w:after="0" w:line="259"/>
        <w:ind w:right="0" w:left="0" w:firstLine="0"/>
        <w:jc w:val="both"/>
        <w:rPr>
          <w:rFonts w:ascii="Calibri" w:hAnsi="Calibri" w:cs="Calibri" w:eastAsia="Calibri"/>
          <w:color w:val="auto"/>
          <w:spacing w:val="0"/>
          <w:position w:val="0"/>
          <w:sz w:val="22"/>
          <w:shd w:fill="auto" w:val="clear"/>
        </w:rPr>
      </w:pPr>
    </w:p>
    <w:p>
      <w:pPr>
        <w:spacing w:before="6" w:after="0" w:line="240"/>
        <w:ind w:right="0" w:left="0" w:firstLine="0"/>
        <w:jc w:val="left"/>
        <w:rPr>
          <w:rFonts w:ascii="Calibri" w:hAnsi="Calibri" w:cs="Calibri" w:eastAsia="Calibri"/>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Calibri" w:hAnsi="Calibri" w:cs="Calibri" w:eastAsia="Calibri"/>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12</w:t>
      </w:r>
    </w:p>
    <w:p>
      <w:pPr>
        <w:spacing w:before="2" w:after="0" w:line="240"/>
        <w:ind w:right="0" w:left="0" w:firstLine="0"/>
        <w:jc w:val="left"/>
        <w:rPr>
          <w:rFonts w:ascii="Arial" w:hAnsi="Arial" w:cs="Arial" w:eastAsia="Arial"/>
          <w:b/>
          <w:color w:val="auto"/>
          <w:spacing w:val="0"/>
          <w:position w:val="0"/>
          <w:sz w:val="10"/>
          <w:shd w:fill="auto" w:val="clear"/>
        </w:rPr>
      </w:pPr>
    </w:p>
    <w:p>
      <w:pPr>
        <w:spacing w:before="101" w:after="0" w:line="240"/>
        <w:ind w:right="0" w:left="248"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A</w:t>
      </w:r>
    </w:p>
    <w:p>
      <w:pPr>
        <w:spacing w:before="16" w:after="0" w:line="240"/>
        <w:ind w:right="0" w:left="258"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A solution would be calculated as follows:</w:t>
      </w:r>
    </w:p>
    <w:p>
      <w:pPr>
        <w:spacing w:before="8" w:after="0" w:line="240"/>
        <w:ind w:right="0" w:left="0" w:firstLine="0"/>
        <w:jc w:val="left"/>
        <w:rPr>
          <w:rFonts w:ascii="Arial" w:hAnsi="Arial" w:cs="Arial" w:eastAsia="Arial"/>
          <w:color w:val="auto"/>
          <w:spacing w:val="0"/>
          <w:position w:val="0"/>
          <w:sz w:val="21"/>
          <w:shd w:fill="auto" w:val="clear"/>
        </w:rPr>
      </w:pPr>
    </w:p>
    <w:tbl>
      <w:tblPr>
        <w:tblInd w:w="983" w:type="dxa"/>
      </w:tblPr>
      <w:tblGrid>
        <w:gridCol w:w="3914"/>
        <w:gridCol w:w="1693"/>
        <w:gridCol w:w="1366"/>
      </w:tblGrid>
      <w:tr>
        <w:trPr>
          <w:trHeight w:val="520" w:hRule="auto"/>
          <w:jc w:val="left"/>
        </w:trPr>
        <w:tc>
          <w:tcPr>
            <w:tcW w:w="391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 w:after="0" w:line="240"/>
              <w:ind w:right="983" w:left="369"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169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7"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287"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46,200</w:t>
            </w:r>
          </w:p>
        </w:tc>
        <w:tc>
          <w:tcPr>
            <w:tcW w:w="136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81" w:hRule="auto"/>
          <w:jc w:val="left"/>
        </w:trPr>
        <w:tc>
          <w:tcPr>
            <w:tcW w:w="391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Business Income</w:t>
            </w:r>
          </w:p>
        </w:tc>
        <w:tc>
          <w:tcPr>
            <w:tcW w:w="169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361" w:firstLine="0"/>
              <w:jc w:val="left"/>
              <w:rPr>
                <w:color w:val="auto"/>
                <w:spacing w:val="0"/>
                <w:position w:val="0"/>
                <w:shd w:fill="auto" w:val="clear"/>
              </w:rPr>
            </w:pPr>
            <w:r>
              <w:rPr>
                <w:rFonts w:ascii="Arial" w:hAnsi="Arial" w:cs="Arial" w:eastAsia="Arial"/>
                <w:color w:val="auto"/>
                <w:spacing w:val="0"/>
                <w:position w:val="0"/>
                <w:sz w:val="20"/>
                <w:u w:val="single"/>
                <w:shd w:fill="auto" w:val="clear"/>
              </w:rPr>
              <w:t xml:space="preserve"> 13,500</w:t>
            </w:r>
          </w:p>
        </w:tc>
        <w:tc>
          <w:tcPr>
            <w:tcW w:w="136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64"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59,700</w:t>
            </w:r>
          </w:p>
        </w:tc>
      </w:tr>
      <w:tr>
        <w:trPr>
          <w:trHeight w:val="520" w:hRule="auto"/>
          <w:jc w:val="left"/>
        </w:trPr>
        <w:tc>
          <w:tcPr>
            <w:tcW w:w="391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5" w:after="0" w:line="250"/>
              <w:ind w:right="983" w:left="369"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 Taxable Capital Gains</w:t>
            </w:r>
          </w:p>
        </w:tc>
        <w:tc>
          <w:tcPr>
            <w:tcW w:w="169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5"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288"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14,320</w:t>
            </w:r>
          </w:p>
        </w:tc>
        <w:tc>
          <w:tcPr>
            <w:tcW w:w="136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47" w:hRule="auto"/>
          <w:jc w:val="left"/>
        </w:trPr>
        <w:tc>
          <w:tcPr>
            <w:tcW w:w="391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169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34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23,460</w:t>
            </w:r>
            <w:r>
              <w:rPr>
                <w:rFonts w:ascii="Arial" w:hAnsi="Arial" w:cs="Arial" w:eastAsia="Arial"/>
                <w:color w:val="auto"/>
                <w:spacing w:val="0"/>
                <w:position w:val="0"/>
                <w:sz w:val="20"/>
                <w:shd w:fill="auto" w:val="clear"/>
              </w:rPr>
              <w:t xml:space="preserve">)</w:t>
            </w:r>
          </w:p>
        </w:tc>
        <w:tc>
          <w:tcPr>
            <w:tcW w:w="136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61"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Nil</w:t>
            </w:r>
          </w:p>
        </w:tc>
      </w:tr>
      <w:tr>
        <w:trPr>
          <w:trHeight w:val="301" w:hRule="auto"/>
          <w:jc w:val="left"/>
        </w:trPr>
        <w:tc>
          <w:tcPr>
            <w:tcW w:w="3914"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57" w:after="0" w:line="240"/>
              <w:ind w:right="0" w:left="1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1693"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6"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57" w:after="0" w:line="240"/>
              <w:ind w:right="9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59,700</w:t>
            </w:r>
          </w:p>
        </w:tc>
      </w:tr>
      <w:tr>
        <w:trPr>
          <w:trHeight w:val="258" w:hRule="auto"/>
          <w:jc w:val="left"/>
        </w:trPr>
        <w:tc>
          <w:tcPr>
            <w:tcW w:w="391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1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Spousal Support Payments (See Note)</w:t>
            </w:r>
          </w:p>
        </w:tc>
        <w:tc>
          <w:tcPr>
            <w:tcW w:w="169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20"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4,800</w:t>
            </w:r>
            <w:r>
              <w:rPr>
                <w:rFonts w:ascii="Arial" w:hAnsi="Arial" w:cs="Arial" w:eastAsia="Arial"/>
                <w:color w:val="auto"/>
                <w:spacing w:val="0"/>
                <w:position w:val="0"/>
                <w:sz w:val="20"/>
                <w:shd w:fill="auto" w:val="clear"/>
              </w:rPr>
              <w:t xml:space="preserve">)</w:t>
            </w:r>
          </w:p>
        </w:tc>
      </w:tr>
      <w:tr>
        <w:trPr>
          <w:trHeight w:val="814" w:hRule="auto"/>
          <w:jc w:val="left"/>
        </w:trPr>
        <w:tc>
          <w:tcPr>
            <w:tcW w:w="3914"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57" w:after="0" w:line="240"/>
              <w:ind w:right="1550" w:left="9" w:firstLine="1"/>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19"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Net Rental Loss</w:t>
            </w:r>
          </w:p>
        </w:tc>
        <w:tc>
          <w:tcPr>
            <w:tcW w:w="1693"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6"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57" w:after="0" w:line="240"/>
              <w:ind w:right="0" w:left="413"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54,900</w:t>
            </w:r>
          </w:p>
          <w:p>
            <w:pPr>
              <w:spacing w:before="10" w:after="0" w:line="240"/>
              <w:ind w:right="0" w:left="0" w:firstLine="0"/>
              <w:jc w:val="left"/>
              <w:rPr>
                <w:rFonts w:ascii="Arial" w:hAnsi="Arial" w:cs="Arial" w:eastAsia="Arial"/>
                <w:color w:val="auto"/>
                <w:spacing w:val="0"/>
                <w:position w:val="0"/>
                <w:sz w:val="23"/>
                <w:shd w:fill="auto" w:val="clear"/>
              </w:rPr>
            </w:pPr>
          </w:p>
          <w:p>
            <w:pPr>
              <w:spacing w:before="0" w:after="0" w:line="240"/>
              <w:ind w:right="0" w:left="50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2,350</w:t>
            </w:r>
            <w:r>
              <w:rPr>
                <w:rFonts w:ascii="Arial" w:hAnsi="Arial" w:cs="Arial" w:eastAsia="Arial"/>
                <w:color w:val="auto"/>
                <w:spacing w:val="0"/>
                <w:position w:val="0"/>
                <w:sz w:val="20"/>
                <w:shd w:fill="auto" w:val="clear"/>
              </w:rPr>
              <w:t xml:space="preserve">)</w:t>
            </w:r>
          </w:p>
        </w:tc>
      </w:tr>
    </w:tbl>
    <w:p>
      <w:pPr>
        <w:tabs>
          <w:tab w:val="left" w:pos="7062" w:leader="none"/>
        </w:tabs>
        <w:spacing w:before="37" w:after="0" w:line="240"/>
        <w:ind w:right="0" w:left="951" w:firstLine="0"/>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29"/>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8"/>
          <w:position w:val="0"/>
          <w:sz w:val="20"/>
          <w:shd w:fill="auto" w:val="clear"/>
        </w:rPr>
        <w:t xml:space="preserve">$</w:t>
      </w:r>
      <w:r>
        <w:rPr>
          <w:rFonts w:ascii="Arial" w:hAnsi="Arial" w:cs="Arial" w:eastAsia="Arial"/>
          <w:color w:val="auto"/>
          <w:spacing w:val="8"/>
          <w:position w:val="0"/>
          <w:sz w:val="20"/>
          <w:shd w:fill="auto" w:val="clear"/>
        </w:rPr>
        <w:t xml:space="preserve">52,550</w:t>
      </w:r>
    </w:p>
    <w:p>
      <w:pPr>
        <w:spacing w:before="0" w:after="0" w:line="240"/>
        <w:ind w:right="0" w:left="980" w:firstLine="0"/>
        <w:jc w:val="left"/>
        <w:rPr>
          <w:rFonts w:ascii="Arial" w:hAnsi="Arial" w:cs="Arial" w:eastAsia="Arial"/>
          <w:color w:val="auto"/>
          <w:spacing w:val="0"/>
          <w:position w:val="0"/>
          <w:sz w:val="5"/>
          <w:shd w:fill="auto" w:val="clear"/>
        </w:rPr>
      </w:pPr>
    </w:p>
    <w:p>
      <w:pPr>
        <w:spacing w:before="2" w:after="0" w:line="240"/>
        <w:ind w:right="0" w:left="0" w:firstLine="0"/>
        <w:jc w:val="left"/>
        <w:rPr>
          <w:rFonts w:ascii="Arial" w:hAnsi="Arial" w:cs="Arial" w:eastAsia="Arial"/>
          <w:color w:val="auto"/>
          <w:spacing w:val="0"/>
          <w:position w:val="0"/>
          <w:sz w:val="24"/>
          <w:shd w:fill="auto" w:val="clear"/>
        </w:rPr>
      </w:pPr>
    </w:p>
    <w:p>
      <w:pPr>
        <w:tabs>
          <w:tab w:val="left" w:pos="1325" w:leader="none"/>
        </w:tabs>
        <w:spacing w:before="0" w:after="0" w:line="259"/>
        <w:ind w:right="1328" w:left="619" w:firstLine="0"/>
        <w:jc w:val="left"/>
        <w:rPr>
          <w:rFonts w:ascii="Arial" w:hAnsi="Arial" w:cs="Arial" w:eastAsia="Arial"/>
          <w:color w:val="auto"/>
          <w:spacing w:val="0"/>
          <w:position w:val="0"/>
          <w:sz w:val="20"/>
          <w:shd w:fill="auto" w:val="clear"/>
        </w:rPr>
      </w:pPr>
      <w:r>
        <w:rPr>
          <w:rFonts w:ascii="Arial" w:hAnsi="Arial" w:cs="Arial" w:eastAsia="Arial"/>
          <w:b/>
          <w:color w:val="auto"/>
          <w:spacing w:val="5"/>
          <w:position w:val="0"/>
          <w:sz w:val="20"/>
          <w:shd w:fill="auto" w:val="clear"/>
        </w:rPr>
        <w:t xml:space="preserve">Note</w:t>
      </w:r>
      <w:r>
        <w:rPr>
          <w:rFonts w:ascii="Arial" w:hAnsi="Arial" w:cs="Arial" w:eastAsia="Arial"/>
          <w:b/>
          <w:color w:val="auto"/>
          <w:spacing w:val="5"/>
          <w:position w:val="0"/>
          <w:sz w:val="20"/>
          <w:shd w:fill="auto" w:val="clear"/>
        </w:rPr>
        <w:tab/>
      </w:r>
      <w:r>
        <w:rPr>
          <w:rFonts w:ascii="Arial" w:hAnsi="Arial" w:cs="Arial" w:eastAsia="Arial"/>
          <w:color w:val="auto"/>
          <w:spacing w:val="0"/>
          <w:position w:val="0"/>
          <w:sz w:val="20"/>
          <w:shd w:fill="auto" w:val="clear"/>
        </w:rPr>
        <w:t xml:space="preserve">As </w:t>
      </w:r>
      <w:r>
        <w:rPr>
          <w:rFonts w:ascii="Arial" w:hAnsi="Arial" w:cs="Arial" w:eastAsia="Arial"/>
          <w:color w:val="auto"/>
          <w:spacing w:val="7"/>
          <w:position w:val="0"/>
          <w:sz w:val="20"/>
          <w:shd w:fill="auto" w:val="clear"/>
        </w:rPr>
        <w:t xml:space="preserve">indicated </w:t>
      </w:r>
      <w:r>
        <w:rPr>
          <w:rFonts w:ascii="Arial" w:hAnsi="Arial" w:cs="Arial" w:eastAsia="Arial"/>
          <w:color w:val="auto"/>
          <w:spacing w:val="0"/>
          <w:position w:val="0"/>
          <w:sz w:val="20"/>
          <w:shd w:fill="auto" w:val="clear"/>
        </w:rPr>
        <w:t xml:space="preserve">in </w:t>
      </w:r>
      <w:r>
        <w:rPr>
          <w:rFonts w:ascii="Arial" w:hAnsi="Arial" w:cs="Arial" w:eastAsia="Arial"/>
          <w:color w:val="auto"/>
          <w:spacing w:val="3"/>
          <w:position w:val="0"/>
          <w:sz w:val="20"/>
          <w:shd w:fill="auto" w:val="clear"/>
        </w:rPr>
        <w:t xml:space="preserve">the </w:t>
      </w:r>
      <w:r>
        <w:rPr>
          <w:rFonts w:ascii="Arial" w:hAnsi="Arial" w:cs="Arial" w:eastAsia="Arial"/>
          <w:color w:val="auto"/>
          <w:spacing w:val="5"/>
          <w:position w:val="0"/>
          <w:sz w:val="20"/>
          <w:shd w:fill="auto" w:val="clear"/>
        </w:rPr>
        <w:t xml:space="preserve">text, </w:t>
      </w:r>
      <w:r>
        <w:rPr>
          <w:rFonts w:ascii="Arial" w:hAnsi="Arial" w:cs="Arial" w:eastAsia="Arial"/>
          <w:color w:val="auto"/>
          <w:spacing w:val="6"/>
          <w:position w:val="0"/>
          <w:sz w:val="20"/>
          <w:shd w:fill="auto" w:val="clear"/>
        </w:rPr>
        <w:t xml:space="preserve">spousal support payments </w:t>
      </w:r>
      <w:r>
        <w:rPr>
          <w:rFonts w:ascii="Arial" w:hAnsi="Arial" w:cs="Arial" w:eastAsia="Arial"/>
          <w:color w:val="auto"/>
          <w:spacing w:val="4"/>
          <w:position w:val="0"/>
          <w:sz w:val="20"/>
          <w:shd w:fill="auto" w:val="clear"/>
        </w:rPr>
        <w:t xml:space="preserve">are </w:t>
      </w:r>
      <w:r>
        <w:rPr>
          <w:rFonts w:ascii="Arial" w:hAnsi="Arial" w:cs="Arial" w:eastAsia="Arial"/>
          <w:color w:val="auto"/>
          <w:spacing w:val="0"/>
          <w:position w:val="0"/>
          <w:sz w:val="20"/>
          <w:shd w:fill="auto" w:val="clear"/>
        </w:rPr>
        <w:t xml:space="preserve">a </w:t>
      </w:r>
      <w:r>
        <w:rPr>
          <w:rFonts w:ascii="Arial" w:hAnsi="Arial" w:cs="Arial" w:eastAsia="Arial"/>
          <w:color w:val="auto"/>
          <w:spacing w:val="7"/>
          <w:position w:val="0"/>
          <w:sz w:val="20"/>
          <w:shd w:fill="auto" w:val="clear"/>
        </w:rPr>
        <w:t xml:space="preserve">Subdivision </w:t>
      </w:r>
      <w:r>
        <w:rPr>
          <w:rFonts w:ascii="Arial" w:hAnsi="Arial" w:cs="Arial" w:eastAsia="Arial"/>
          <w:color w:val="auto"/>
          <w:spacing w:val="0"/>
          <w:position w:val="0"/>
          <w:sz w:val="20"/>
          <w:shd w:fill="auto" w:val="clear"/>
        </w:rPr>
        <w:t xml:space="preserve">e </w:t>
      </w:r>
      <w:r>
        <w:rPr>
          <w:rFonts w:ascii="Arial" w:hAnsi="Arial" w:cs="Arial" w:eastAsia="Arial"/>
          <w:color w:val="auto"/>
          <w:spacing w:val="8"/>
          <w:position w:val="0"/>
          <w:sz w:val="20"/>
          <w:shd w:fill="auto" w:val="clear"/>
        </w:rPr>
        <w:t xml:space="preserve">deduction.</w:t>
      </w:r>
    </w:p>
    <w:p>
      <w:pPr>
        <w:spacing w:before="3" w:after="0" w:line="240"/>
        <w:ind w:right="0" w:left="0" w:firstLine="0"/>
        <w:jc w:val="left"/>
        <w:rPr>
          <w:rFonts w:ascii="Arial" w:hAnsi="Arial" w:cs="Arial" w:eastAsia="Arial"/>
          <w:color w:val="auto"/>
          <w:spacing w:val="0"/>
          <w:position w:val="0"/>
          <w:sz w:val="22"/>
          <w:shd w:fill="auto" w:val="clear"/>
        </w:rPr>
      </w:pPr>
    </w:p>
    <w:p>
      <w:pPr>
        <w:spacing w:before="0" w:after="0" w:line="240"/>
        <w:ind w:right="617" w:left="259"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this</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Case,</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Christina</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has</w:t>
      </w:r>
      <w:r>
        <w:rPr>
          <w:rFonts w:ascii="Arial" w:hAnsi="Arial" w:cs="Arial" w:eastAsia="Arial"/>
          <w:color w:val="auto"/>
          <w:spacing w:val="-17"/>
          <w:position w:val="0"/>
          <w:sz w:val="20"/>
          <w:shd w:fill="auto" w:val="clear"/>
        </w:rPr>
        <w:t xml:space="preserve"> </w:t>
      </w:r>
      <w:r>
        <w:rPr>
          <w:rFonts w:ascii="Arial" w:hAnsi="Arial" w:cs="Arial" w:eastAsia="Arial"/>
          <w:color w:val="auto"/>
          <w:spacing w:val="0"/>
          <w:position w:val="0"/>
          <w:sz w:val="20"/>
          <w:shd w:fill="auto" w:val="clear"/>
        </w:rPr>
        <w:t xml:space="preserve">an</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unused</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allowable</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capital</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loss</w:t>
      </w:r>
      <w:r>
        <w:rPr>
          <w:rFonts w:ascii="Arial" w:hAnsi="Arial" w:cs="Arial" w:eastAsia="Arial"/>
          <w:color w:val="auto"/>
          <w:spacing w:val="-14"/>
          <w:position w:val="0"/>
          <w:sz w:val="20"/>
          <w:shd w:fill="auto" w:val="clear"/>
        </w:rPr>
        <w:t xml:space="preserve"> </w:t>
      </w:r>
      <w:r>
        <w:rPr>
          <w:rFonts w:ascii="Arial" w:hAnsi="Arial" w:cs="Arial" w:eastAsia="Arial"/>
          <w:color w:val="auto"/>
          <w:spacing w:val="0"/>
          <w:position w:val="0"/>
          <w:sz w:val="20"/>
          <w:shd w:fill="auto" w:val="clear"/>
        </w:rPr>
        <w:t xml:space="preserve">carry</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over</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of</w:t>
      </w:r>
      <w:r>
        <w:rPr>
          <w:rFonts w:ascii="Arial" w:hAnsi="Arial" w:cs="Arial" w:eastAsia="Arial"/>
          <w:color w:val="auto"/>
          <w:spacing w:val="-16"/>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9,140</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14,320</w:t>
      </w:r>
      <w:r>
        <w:rPr>
          <w:rFonts w:ascii="Arial" w:hAnsi="Arial" w:cs="Arial" w:eastAsia="Arial"/>
          <w:color w:val="auto"/>
          <w:spacing w:val="-17"/>
          <w:position w:val="0"/>
          <w:sz w:val="20"/>
          <w:shd w:fill="auto" w:val="clear"/>
        </w:rPr>
        <w:t xml:space="preserve">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23,460</w:t>
      </w:r>
      <w:r>
        <w:rPr>
          <w:rFonts w:ascii="Arial" w:hAnsi="Arial" w:cs="Arial" w:eastAsia="Arial"/>
          <w:color w:val="auto"/>
          <w:spacing w:val="0"/>
          <w:position w:val="0"/>
          <w:sz w:val="20"/>
          <w:shd w:fill="auto" w:val="clear"/>
        </w:rPr>
        <w:t xml:space="preserve">). The roulette winnings would not be included in income and the related expenses would not be deductible.</w:t>
      </w:r>
    </w:p>
    <w:p>
      <w:pPr>
        <w:spacing w:before="0"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259"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B</w:t>
      </w:r>
    </w:p>
    <w:p>
      <w:pPr>
        <w:spacing w:before="16" w:after="0" w:line="240"/>
        <w:ind w:right="0" w:left="258"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B solution would be calculated as follows:</w:t>
      </w:r>
    </w:p>
    <w:p>
      <w:pPr>
        <w:spacing w:before="10" w:after="0" w:line="240"/>
        <w:ind w:right="0" w:left="0" w:firstLine="0"/>
        <w:jc w:val="left"/>
        <w:rPr>
          <w:rFonts w:ascii="Arial" w:hAnsi="Arial" w:cs="Arial" w:eastAsia="Arial"/>
          <w:color w:val="auto"/>
          <w:spacing w:val="0"/>
          <w:position w:val="0"/>
          <w:sz w:val="21"/>
          <w:shd w:fill="auto" w:val="clear"/>
        </w:rPr>
      </w:pPr>
    </w:p>
    <w:tbl>
      <w:tblPr>
        <w:tblInd w:w="944" w:type="dxa"/>
      </w:tblPr>
      <w:tblGrid>
        <w:gridCol w:w="3556"/>
        <w:gridCol w:w="2086"/>
        <w:gridCol w:w="1384"/>
        <w:gridCol w:w="1780"/>
      </w:tblGrid>
      <w:tr>
        <w:trPr>
          <w:trHeight w:val="520" w:hRule="auto"/>
          <w:jc w:val="left"/>
        </w:trPr>
        <w:tc>
          <w:tcPr>
            <w:tcW w:w="355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3" w:after="0" w:line="240"/>
              <w:ind w:right="613" w:left="409" w:hanging="359"/>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208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6"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683"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64,000</w:t>
            </w:r>
          </w:p>
        </w:tc>
        <w:tc>
          <w:tcPr>
            <w:tcW w:w="138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30" w:hRule="auto"/>
          <w:jc w:val="left"/>
        </w:trPr>
        <w:tc>
          <w:tcPr>
            <w:tcW w:w="355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40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Interest Income</w:t>
            </w:r>
          </w:p>
        </w:tc>
        <w:tc>
          <w:tcPr>
            <w:tcW w:w="208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61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2,600</w:t>
            </w:r>
          </w:p>
        </w:tc>
        <w:tc>
          <w:tcPr>
            <w:tcW w:w="138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76" w:hRule="auto"/>
          <w:jc w:val="left"/>
        </w:trPr>
        <w:tc>
          <w:tcPr>
            <w:tcW w:w="355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40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Net Rental Income</w:t>
            </w:r>
          </w:p>
        </w:tc>
        <w:tc>
          <w:tcPr>
            <w:tcW w:w="208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798" w:firstLine="0"/>
              <w:jc w:val="left"/>
              <w:rPr>
                <w:color w:val="auto"/>
                <w:spacing w:val="0"/>
                <w:position w:val="0"/>
                <w:shd w:fill="auto" w:val="clear"/>
              </w:rPr>
            </w:pPr>
            <w:r>
              <w:rPr>
                <w:rFonts w:ascii="Arial" w:hAnsi="Arial" w:cs="Arial" w:eastAsia="Arial"/>
                <w:color w:val="auto"/>
                <w:spacing w:val="0"/>
                <w:position w:val="0"/>
                <w:sz w:val="20"/>
                <w:u w:val="single"/>
                <w:shd w:fill="auto" w:val="clear"/>
              </w:rPr>
              <w:t xml:space="preserve">  4,560</w:t>
            </w:r>
          </w:p>
        </w:tc>
        <w:tc>
          <w:tcPr>
            <w:tcW w:w="138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76"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71,160</w:t>
            </w: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526" w:hRule="auto"/>
          <w:jc w:val="left"/>
        </w:trPr>
        <w:tc>
          <w:tcPr>
            <w:tcW w:w="355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9" w:after="0" w:line="250"/>
              <w:ind w:right="613" w:left="410"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 Taxable Capital Gains</w:t>
            </w:r>
          </w:p>
        </w:tc>
        <w:tc>
          <w:tcPr>
            <w:tcW w:w="2086"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05" w:after="0" w:line="240"/>
              <w:ind w:right="0" w:left="68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32,420</w:t>
            </w:r>
          </w:p>
        </w:tc>
        <w:tc>
          <w:tcPr>
            <w:tcW w:w="138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47" w:hRule="auto"/>
          <w:jc w:val="left"/>
        </w:trPr>
        <w:tc>
          <w:tcPr>
            <w:tcW w:w="355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41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208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545"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29,375</w:t>
            </w:r>
            <w:r>
              <w:rPr>
                <w:rFonts w:ascii="Arial" w:hAnsi="Arial" w:cs="Arial" w:eastAsia="Arial"/>
                <w:color w:val="auto"/>
                <w:spacing w:val="0"/>
                <w:position w:val="0"/>
                <w:sz w:val="20"/>
                <w:shd w:fill="auto" w:val="clear"/>
              </w:rPr>
              <w:t xml:space="preserve">)</w:t>
            </w:r>
          </w:p>
        </w:tc>
        <w:tc>
          <w:tcPr>
            <w:tcW w:w="138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75"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3,045</w:t>
            </w: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99" w:hRule="auto"/>
          <w:jc w:val="left"/>
        </w:trPr>
        <w:tc>
          <w:tcPr>
            <w:tcW w:w="3556"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56" w:after="0" w:line="240"/>
              <w:ind w:right="0" w:left="5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2086"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84"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56" w:after="0" w:line="240"/>
              <w:ind w:right="76"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74,205</w:t>
            </w: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60" w:hRule="auto"/>
          <w:jc w:val="left"/>
        </w:trPr>
        <w:tc>
          <w:tcPr>
            <w:tcW w:w="355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5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Deductible RRSP Contribution</w:t>
            </w:r>
          </w:p>
        </w:tc>
        <w:tc>
          <w:tcPr>
            <w:tcW w:w="2086"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8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15"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12,480</w:t>
            </w:r>
            <w:r>
              <w:rPr>
                <w:rFonts w:ascii="Arial" w:hAnsi="Arial" w:cs="Arial" w:eastAsia="Arial"/>
                <w:color w:val="auto"/>
                <w:spacing w:val="0"/>
                <w:position w:val="0"/>
                <w:sz w:val="20"/>
                <w:shd w:fill="auto" w:val="clear"/>
              </w:rPr>
              <w:t xml:space="preserve">)</w:t>
            </w:r>
          </w:p>
        </w:tc>
        <w:tc>
          <w:tcPr>
            <w:tcW w:w="178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786" w:hRule="auto"/>
          <w:jc w:val="left"/>
        </w:trPr>
        <w:tc>
          <w:tcPr>
            <w:tcW w:w="3556"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61" w:after="0" w:line="240"/>
              <w:ind w:right="613" w:left="5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19" w:after="0" w:line="240"/>
              <w:ind w:right="0" w:left="40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Partnership Business Loss [(</w:t>
            </w:r>
            <w:r>
              <w:rPr>
                <w:rFonts w:ascii="Arial" w:hAnsi="Arial" w:cs="Arial" w:eastAsia="Arial"/>
                <w:color w:val="auto"/>
                <w:spacing w:val="0"/>
                <w:position w:val="0"/>
                <w:sz w:val="20"/>
                <w:shd w:fill="auto" w:val="clear"/>
              </w:rPr>
              <w:t xml:space="preserve">50</w:t>
            </w:r>
          </w:p>
        </w:tc>
        <w:tc>
          <w:tcPr>
            <w:tcW w:w="2086"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Arial" w:hAnsi="Arial" w:cs="Arial" w:eastAsia="Arial"/>
                <w:color w:val="auto"/>
                <w:spacing w:val="0"/>
                <w:position w:val="0"/>
                <w:sz w:val="24"/>
                <w:shd w:fill="auto" w:val="clear"/>
              </w:rPr>
            </w:pPr>
          </w:p>
          <w:p>
            <w:pPr>
              <w:spacing w:before="8" w:after="0" w:line="240"/>
              <w:ind w:right="0" w:left="0" w:firstLine="0"/>
              <w:jc w:val="left"/>
              <w:rPr>
                <w:rFonts w:ascii="Arial" w:hAnsi="Arial" w:cs="Arial" w:eastAsia="Arial"/>
                <w:color w:val="auto"/>
                <w:spacing w:val="0"/>
                <w:position w:val="0"/>
                <w:sz w:val="21"/>
                <w:shd w:fill="auto" w:val="clear"/>
              </w:rPr>
            </w:pPr>
          </w:p>
          <w:p>
            <w:pPr>
              <w:spacing w:before="0" w:after="0" w:line="240"/>
              <w:ind w:right="0" w:left="-133"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144,940</w:t>
            </w:r>
            <w:r>
              <w:rPr>
                <w:rFonts w:ascii="Arial" w:hAnsi="Arial" w:cs="Arial" w:eastAsia="Arial"/>
                <w:color w:val="auto"/>
                <w:spacing w:val="0"/>
                <w:position w:val="0"/>
                <w:sz w:val="20"/>
                <w:shd w:fill="auto" w:val="clear"/>
              </w:rPr>
              <w:t xml:space="preserve">)]</w:t>
            </w:r>
          </w:p>
        </w:tc>
        <w:tc>
          <w:tcPr>
            <w:tcW w:w="1384"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56" w:after="0" w:line="240"/>
              <w:ind w:right="58" w:left="526" w:firstLine="0"/>
              <w:jc w:val="center"/>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61,725</w:t>
            </w:r>
          </w:p>
          <w:p>
            <w:pPr>
              <w:spacing w:before="10" w:after="0" w:line="240"/>
              <w:ind w:right="0" w:left="0" w:firstLine="0"/>
              <w:jc w:val="left"/>
              <w:rPr>
                <w:rFonts w:ascii="Arial" w:hAnsi="Arial" w:cs="Arial" w:eastAsia="Arial"/>
                <w:color w:val="auto"/>
                <w:spacing w:val="0"/>
                <w:position w:val="0"/>
                <w:sz w:val="20"/>
                <w:shd w:fill="auto" w:val="clear"/>
              </w:rPr>
            </w:pPr>
          </w:p>
          <w:p>
            <w:pPr>
              <w:spacing w:before="0" w:after="0" w:line="240"/>
              <w:ind w:right="-44" w:left="445" w:firstLine="0"/>
              <w:jc w:val="center"/>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45"/>
                <w:position w:val="0"/>
                <w:sz w:val="20"/>
                <w:shd w:fill="auto" w:val="clear"/>
              </w:rPr>
              <w:t xml:space="preserve"> </w:t>
            </w:r>
            <w:r>
              <w:rPr>
                <w:rFonts w:ascii="Arial" w:hAnsi="Arial" w:cs="Arial" w:eastAsia="Arial"/>
                <w:color w:val="auto"/>
                <w:spacing w:val="9"/>
                <w:position w:val="0"/>
                <w:sz w:val="20"/>
                <w:shd w:fill="auto" w:val="clear"/>
              </w:rPr>
              <w:t xml:space="preserve">72,470</w:t>
            </w:r>
            <w:r>
              <w:rPr>
                <w:rFonts w:ascii="Arial" w:hAnsi="Arial" w:cs="Arial" w:eastAsia="Arial"/>
                <w:color w:val="auto"/>
                <w:spacing w:val="9"/>
                <w:position w:val="0"/>
                <w:sz w:val="20"/>
                <w:shd w:fill="auto" w:val="clear"/>
              </w:rPr>
              <w:t xml:space="preserve">)</w:t>
            </w:r>
          </w:p>
        </w:tc>
        <w:tc>
          <w:tcPr>
            <w:tcW w:w="1780"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bl>
    <w:p>
      <w:pPr>
        <w:tabs>
          <w:tab w:val="left" w:pos="7578" w:leader="none"/>
        </w:tabs>
        <w:spacing w:before="28" w:after="6" w:line="240"/>
        <w:ind w:right="0" w:left="960" w:firstLine="0"/>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29"/>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5"/>
          <w:position w:val="0"/>
          <w:sz w:val="20"/>
          <w:shd w:fill="auto" w:val="clear"/>
        </w:rPr>
        <w:t xml:space="preserve">Nil</w:t>
      </w:r>
    </w:p>
    <w:p>
      <w:pPr>
        <w:spacing w:before="0" w:after="0" w:line="240"/>
        <w:ind w:right="0" w:left="980" w:firstLine="0"/>
        <w:jc w:val="left"/>
        <w:rPr>
          <w:rFonts w:ascii="Arial" w:hAnsi="Arial" w:cs="Arial" w:eastAsia="Arial"/>
          <w:color w:val="auto"/>
          <w:spacing w:val="0"/>
          <w:position w:val="0"/>
          <w:sz w:val="5"/>
          <w:shd w:fill="auto" w:val="clear"/>
        </w:rPr>
      </w:pPr>
    </w:p>
    <w:p>
      <w:pPr>
        <w:spacing w:before="6" w:after="0" w:line="240"/>
        <w:ind w:right="0" w:left="0" w:firstLine="0"/>
        <w:jc w:val="left"/>
        <w:rPr>
          <w:rFonts w:ascii="Arial" w:hAnsi="Arial" w:cs="Arial" w:eastAsia="Arial"/>
          <w:color w:val="auto"/>
          <w:spacing w:val="0"/>
          <w:position w:val="0"/>
          <w:sz w:val="23"/>
          <w:shd w:fill="auto" w:val="clear"/>
        </w:rPr>
      </w:pPr>
    </w:p>
    <w:p>
      <w:pPr>
        <w:tabs>
          <w:tab w:val="left" w:pos="1325" w:leader="none"/>
        </w:tabs>
        <w:spacing w:before="0" w:after="0" w:line="259"/>
        <w:ind w:right="1720" w:left="619" w:firstLine="0"/>
        <w:jc w:val="left"/>
        <w:rPr>
          <w:rFonts w:ascii="Arial" w:hAnsi="Arial" w:cs="Arial" w:eastAsia="Arial"/>
          <w:color w:val="auto"/>
          <w:spacing w:val="0"/>
          <w:position w:val="0"/>
          <w:sz w:val="20"/>
          <w:shd w:fill="auto" w:val="clear"/>
        </w:rPr>
      </w:pPr>
      <w:r>
        <w:rPr>
          <w:rFonts w:ascii="Arial" w:hAnsi="Arial" w:cs="Arial" w:eastAsia="Arial"/>
          <w:b/>
          <w:color w:val="auto"/>
          <w:spacing w:val="0"/>
          <w:position w:val="0"/>
          <w:sz w:val="20"/>
          <w:shd w:fill="auto" w:val="clear"/>
        </w:rPr>
        <w:t xml:space="preserve">Note</w:t>
      </w:r>
      <w:r>
        <w:rPr>
          <w:rFonts w:ascii="Arial" w:hAnsi="Arial" w:cs="Arial" w:eastAsia="Arial"/>
          <w:b/>
          <w:color w:val="auto"/>
          <w:spacing w:val="0"/>
          <w:position w:val="0"/>
          <w:sz w:val="20"/>
          <w:shd w:fill="auto" w:val="clear"/>
        </w:rPr>
        <w:tab/>
      </w:r>
      <w:r>
        <w:rPr>
          <w:rFonts w:ascii="Arial" w:hAnsi="Arial" w:cs="Arial" w:eastAsia="Arial"/>
          <w:color w:val="auto"/>
          <w:spacing w:val="0"/>
          <w:position w:val="0"/>
          <w:sz w:val="20"/>
          <w:shd w:fill="auto" w:val="clear"/>
        </w:rPr>
        <w:t xml:space="preserve">As indicated in the text, deductible RRSP contributions are a Subdivision e deduction.</w:t>
      </w:r>
    </w:p>
    <w:p>
      <w:pPr>
        <w:spacing w:before="3"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26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 this Case, Christina has an unused business loss carry over of $</w:t>
      </w:r>
      <w:r>
        <w:rPr>
          <w:rFonts w:ascii="Arial" w:hAnsi="Arial" w:cs="Arial" w:eastAsia="Arial"/>
          <w:color w:val="auto"/>
          <w:spacing w:val="0"/>
          <w:position w:val="0"/>
          <w:sz w:val="20"/>
          <w:shd w:fill="auto" w:val="clear"/>
        </w:rPr>
        <w:t xml:space="preserve">10,745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72,470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61,725</w:t>
      </w:r>
      <w:r>
        <w:rPr>
          <w:rFonts w:ascii="Arial" w:hAnsi="Arial" w:cs="Arial" w:eastAsia="Arial"/>
          <w:color w:val="auto"/>
          <w:spacing w:val="0"/>
          <w:position w:val="0"/>
          <w:sz w:val="20"/>
          <w:shd w:fill="auto" w:val="clear"/>
        </w:rPr>
        <w:t xml:space="preserve">).</w:t>
      </w:r>
    </w:p>
    <w:p>
      <w:pPr>
        <w:spacing w:before="0" w:after="0" w:line="240"/>
        <w:ind w:right="0" w:left="0" w:firstLine="0"/>
        <w:jc w:val="left"/>
        <w:rPr>
          <w:rFonts w:ascii="Arial" w:hAnsi="Arial" w:cs="Arial" w:eastAsia="Arial"/>
          <w:color w:val="auto"/>
          <w:spacing w:val="0"/>
          <w:position w:val="0"/>
          <w:sz w:val="22"/>
          <w:shd w:fill="auto" w:val="clear"/>
        </w:rPr>
      </w:pPr>
    </w:p>
    <w:p>
      <w:pPr>
        <w:spacing w:before="6" w:after="0" w:line="240"/>
        <w:ind w:right="0" w:left="0" w:firstLine="0"/>
        <w:jc w:val="left"/>
        <w:rPr>
          <w:rFonts w:ascii="Arial" w:hAnsi="Arial" w:cs="Arial" w:eastAsia="Arial"/>
          <w:color w:val="auto"/>
          <w:spacing w:val="0"/>
          <w:position w:val="0"/>
          <w:sz w:val="17"/>
          <w:shd w:fill="auto" w:val="clear"/>
        </w:rPr>
      </w:pPr>
    </w:p>
    <w:p>
      <w:pPr>
        <w:spacing w:before="101" w:after="0" w:line="240"/>
        <w:ind w:right="0" w:left="260" w:firstLine="0"/>
        <w:jc w:val="left"/>
        <w:rPr>
          <w:rFonts w:ascii="Arial" w:hAnsi="Arial" w:cs="Arial" w:eastAsia="Arial"/>
          <w:b/>
          <w:color w:val="auto"/>
          <w:spacing w:val="0"/>
          <w:position w:val="0"/>
          <w:sz w:val="28"/>
          <w:shd w:fill="auto" w:val="clear"/>
        </w:rPr>
      </w:pPr>
      <w:r>
        <w:rPr>
          <w:rFonts w:ascii="Arial" w:hAnsi="Arial" w:cs="Arial" w:eastAsia="Arial"/>
          <w:b/>
          <w:color w:val="auto"/>
          <w:spacing w:val="0"/>
          <w:position w:val="0"/>
          <w:sz w:val="28"/>
          <w:shd w:fill="auto" w:val="clear"/>
        </w:rPr>
        <w:t xml:space="preserve">Solution to Assignment Problem One-</w:t>
      </w:r>
      <w:r>
        <w:rPr>
          <w:rFonts w:ascii="Arial" w:hAnsi="Arial" w:cs="Arial" w:eastAsia="Arial"/>
          <w:b/>
          <w:color w:val="auto"/>
          <w:spacing w:val="0"/>
          <w:position w:val="0"/>
          <w:sz w:val="28"/>
          <w:shd w:fill="auto" w:val="clear"/>
        </w:rPr>
        <w:t xml:space="preserve">13</w:t>
      </w:r>
    </w:p>
    <w:p>
      <w:pPr>
        <w:spacing w:before="2" w:after="0" w:line="240"/>
        <w:ind w:right="0" w:left="0" w:firstLine="0"/>
        <w:jc w:val="left"/>
        <w:rPr>
          <w:rFonts w:ascii="Arial" w:hAnsi="Arial" w:cs="Arial" w:eastAsia="Arial"/>
          <w:b/>
          <w:color w:val="auto"/>
          <w:spacing w:val="0"/>
          <w:position w:val="0"/>
          <w:sz w:val="10"/>
          <w:shd w:fill="auto" w:val="clear"/>
        </w:rPr>
      </w:pPr>
    </w:p>
    <w:p>
      <w:pPr>
        <w:spacing w:before="101"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A</w:t>
      </w:r>
    </w:p>
    <w:p>
      <w:pPr>
        <w:spacing w:before="17" w:after="0" w:line="240"/>
        <w:ind w:right="0" w:left="258"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A solution would be calculated as follows:</w:t>
      </w:r>
    </w:p>
    <w:p>
      <w:pPr>
        <w:spacing w:before="5" w:after="0" w:line="240"/>
        <w:ind w:right="0" w:left="0" w:firstLine="0"/>
        <w:jc w:val="left"/>
        <w:rPr>
          <w:rFonts w:ascii="Arial" w:hAnsi="Arial" w:cs="Arial" w:eastAsia="Arial"/>
          <w:color w:val="auto"/>
          <w:spacing w:val="0"/>
          <w:position w:val="0"/>
          <w:sz w:val="19"/>
          <w:shd w:fill="auto" w:val="clear"/>
        </w:rPr>
      </w:pPr>
    </w:p>
    <w:tbl>
      <w:tblPr>
        <w:tblInd w:w="983" w:type="dxa"/>
      </w:tblPr>
      <w:tblGrid>
        <w:gridCol w:w="3407"/>
        <w:gridCol w:w="2203"/>
        <w:gridCol w:w="1361"/>
      </w:tblGrid>
      <w:tr>
        <w:trPr>
          <w:trHeight w:val="462" w:hRule="auto"/>
          <w:jc w:val="left"/>
        </w:trPr>
        <w:tc>
          <w:tcPr>
            <w:tcW w:w="3407"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4" w:after="0" w:line="240"/>
              <w:ind w:right="1195" w:left="369"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220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13" w:after="0" w:line="240"/>
              <w:ind w:right="68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58,200</w:t>
            </w:r>
          </w:p>
        </w:tc>
        <w:tc>
          <w:tcPr>
            <w:tcW w:w="1361"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77" w:hRule="auto"/>
          <w:jc w:val="left"/>
        </w:trPr>
        <w:tc>
          <w:tcPr>
            <w:tcW w:w="3407"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Rental Income</w:t>
            </w:r>
          </w:p>
        </w:tc>
        <w:tc>
          <w:tcPr>
            <w:tcW w:w="220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693" w:left="0" w:firstLine="0"/>
              <w:jc w:val="right"/>
              <w:rPr>
                <w:color w:val="auto"/>
                <w:spacing w:val="0"/>
                <w:position w:val="0"/>
                <w:shd w:fill="auto" w:val="clear"/>
              </w:rPr>
            </w:pPr>
            <w:r>
              <w:rPr>
                <w:rFonts w:ascii="Arial" w:hAnsi="Arial" w:cs="Arial" w:eastAsia="Arial"/>
                <w:color w:val="auto"/>
                <w:spacing w:val="0"/>
                <w:position w:val="0"/>
                <w:sz w:val="20"/>
                <w:u w:val="single"/>
                <w:shd w:fill="auto" w:val="clear"/>
              </w:rPr>
              <w:t xml:space="preserve">    5,400</w:t>
            </w:r>
          </w:p>
        </w:tc>
        <w:tc>
          <w:tcPr>
            <w:tcW w:w="1361"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62"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63,600</w:t>
            </w:r>
          </w:p>
        </w:tc>
      </w:tr>
      <w:tr>
        <w:trPr>
          <w:trHeight w:val="513" w:hRule="auto"/>
          <w:jc w:val="left"/>
        </w:trPr>
        <w:tc>
          <w:tcPr>
            <w:tcW w:w="3407"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33" w:after="0" w:line="240"/>
              <w:ind w:right="1050" w:left="369"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 Taxable Capital Gains</w:t>
            </w:r>
          </w:p>
        </w:tc>
        <w:tc>
          <w:tcPr>
            <w:tcW w:w="220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09" w:after="0" w:line="240"/>
              <w:ind w:right="682"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31,600</w:t>
            </w:r>
          </w:p>
        </w:tc>
        <w:tc>
          <w:tcPr>
            <w:tcW w:w="1361"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53" w:hRule="auto"/>
          <w:jc w:val="left"/>
        </w:trPr>
        <w:tc>
          <w:tcPr>
            <w:tcW w:w="3407"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220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610"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12,400</w:t>
            </w:r>
            <w:r>
              <w:rPr>
                <w:rFonts w:ascii="Arial" w:hAnsi="Arial" w:cs="Arial" w:eastAsia="Arial"/>
                <w:color w:val="auto"/>
                <w:spacing w:val="0"/>
                <w:position w:val="0"/>
                <w:sz w:val="20"/>
                <w:shd w:fill="auto" w:val="clear"/>
              </w:rPr>
              <w:t xml:space="preserve">)</w:t>
            </w:r>
          </w:p>
        </w:tc>
        <w:tc>
          <w:tcPr>
            <w:tcW w:w="1361"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60"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19,200</w:t>
            </w:r>
          </w:p>
        </w:tc>
      </w:tr>
      <w:tr>
        <w:trPr>
          <w:trHeight w:val="290" w:hRule="auto"/>
          <w:jc w:val="left"/>
        </w:trPr>
        <w:tc>
          <w:tcPr>
            <w:tcW w:w="3407"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1" w:after="0" w:line="240"/>
              <w:ind w:right="0" w:left="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2203"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1"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1" w:after="0" w:line="240"/>
              <w:ind w:right="62"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82,800</w:t>
            </w:r>
          </w:p>
        </w:tc>
      </w:tr>
      <w:tr>
        <w:trPr>
          <w:trHeight w:val="269" w:hRule="auto"/>
          <w:jc w:val="left"/>
        </w:trPr>
        <w:tc>
          <w:tcPr>
            <w:tcW w:w="3407"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Subdivision e Deductions</w:t>
            </w:r>
          </w:p>
        </w:tc>
        <w:tc>
          <w:tcPr>
            <w:tcW w:w="220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1"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tabs>
                <w:tab w:val="left" w:pos="424" w:leader="none"/>
              </w:tabs>
              <w:spacing w:before="0" w:after="0" w:line="240"/>
              <w:ind w:right="-15" w:left="0" w:firstLine="0"/>
              <w:jc w:val="right"/>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ab/>
            </w:r>
            <w:r>
              <w:rPr>
                <w:rFonts w:ascii="Arial" w:hAnsi="Arial" w:cs="Arial" w:eastAsia="Arial"/>
                <w:color w:val="auto"/>
                <w:spacing w:val="7"/>
                <w:position w:val="0"/>
                <w:sz w:val="20"/>
                <w:shd w:fill="auto" w:val="clear"/>
              </w:rPr>
              <w:t xml:space="preserve">4,100</w:t>
            </w:r>
            <w:r>
              <w:rPr>
                <w:rFonts w:ascii="Arial" w:hAnsi="Arial" w:cs="Arial" w:eastAsia="Arial"/>
                <w:color w:val="auto"/>
                <w:spacing w:val="7"/>
                <w:position w:val="0"/>
                <w:sz w:val="20"/>
                <w:shd w:fill="auto" w:val="clear"/>
              </w:rPr>
              <w:t xml:space="preserve">)</w:t>
            </w:r>
          </w:p>
        </w:tc>
      </w:tr>
      <w:tr>
        <w:trPr>
          <w:trHeight w:val="791" w:hRule="auto"/>
          <w:jc w:val="left"/>
        </w:trPr>
        <w:tc>
          <w:tcPr>
            <w:tcW w:w="3407"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48" w:after="0" w:line="240"/>
              <w:ind w:right="1043" w:left="9"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9"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Business Loss</w:t>
            </w:r>
          </w:p>
        </w:tc>
        <w:tc>
          <w:tcPr>
            <w:tcW w:w="2203"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1"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41" w:after="0" w:line="240"/>
              <w:ind w:right="0" w:left="511" w:firstLine="0"/>
              <w:jc w:val="left"/>
              <w:rPr>
                <w:rFonts w:ascii="Arial" w:hAnsi="Arial" w:cs="Arial" w:eastAsia="Arial"/>
                <w:color w:val="auto"/>
                <w:spacing w:val="0"/>
                <w:position w:val="0"/>
                <w:sz w:val="20"/>
                <w:shd w:fill="auto" w:val="clear"/>
              </w:rPr>
            </w:pPr>
            <w:r>
              <w:rPr>
                <w:rFonts w:ascii="Arial" w:hAnsi="Arial" w:cs="Arial" w:eastAsia="Arial"/>
                <w:color w:val="auto"/>
                <w:spacing w:val="9"/>
                <w:position w:val="0"/>
                <w:sz w:val="20"/>
                <w:shd w:fill="auto" w:val="clear"/>
              </w:rPr>
              <w:t xml:space="preserve">$</w:t>
            </w:r>
            <w:r>
              <w:rPr>
                <w:rFonts w:ascii="Arial" w:hAnsi="Arial" w:cs="Arial" w:eastAsia="Arial"/>
                <w:color w:val="auto"/>
                <w:spacing w:val="9"/>
                <w:position w:val="0"/>
                <w:sz w:val="20"/>
                <w:shd w:fill="auto" w:val="clear"/>
              </w:rPr>
              <w:t xml:space="preserve">78,700</w:t>
            </w:r>
          </w:p>
          <w:p>
            <w:pPr>
              <w:spacing w:before="3" w:after="0" w:line="240"/>
              <w:ind w:right="0" w:left="0" w:firstLine="0"/>
              <w:jc w:val="left"/>
              <w:rPr>
                <w:rFonts w:ascii="Arial" w:hAnsi="Arial" w:cs="Arial" w:eastAsia="Arial"/>
                <w:color w:val="auto"/>
                <w:spacing w:val="0"/>
                <w:position w:val="0"/>
                <w:sz w:val="23"/>
                <w:shd w:fill="auto" w:val="clear"/>
              </w:rPr>
            </w:pPr>
          </w:p>
          <w:p>
            <w:pPr>
              <w:spacing w:before="1" w:after="0" w:line="240"/>
              <w:ind w:right="0" w:left="445" w:firstLine="0"/>
              <w:jc w:val="left"/>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23"/>
                <w:position w:val="0"/>
                <w:sz w:val="20"/>
                <w:shd w:fill="auto" w:val="clear"/>
              </w:rPr>
              <w:t xml:space="preserve"> </w:t>
            </w:r>
            <w:r>
              <w:rPr>
                <w:rFonts w:ascii="Arial" w:hAnsi="Arial" w:cs="Arial" w:eastAsia="Arial"/>
                <w:color w:val="auto"/>
                <w:spacing w:val="8"/>
                <w:position w:val="0"/>
                <w:sz w:val="20"/>
                <w:shd w:fill="auto" w:val="clear"/>
              </w:rPr>
              <w:t xml:space="preserve">12,300</w:t>
            </w:r>
            <w:r>
              <w:rPr>
                <w:rFonts w:ascii="Arial" w:hAnsi="Arial" w:cs="Arial" w:eastAsia="Arial"/>
                <w:color w:val="auto"/>
                <w:spacing w:val="8"/>
                <w:position w:val="0"/>
                <w:sz w:val="20"/>
                <w:shd w:fill="auto" w:val="clear"/>
              </w:rPr>
              <w:t xml:space="preserve">)</w:t>
            </w:r>
          </w:p>
        </w:tc>
      </w:tr>
    </w:tbl>
    <w:p>
      <w:pPr>
        <w:tabs>
          <w:tab w:val="left" w:pos="7064" w:leader="none"/>
        </w:tabs>
        <w:spacing w:before="22" w:after="0" w:line="571"/>
        <w:ind w:right="1807" w:left="260" w:firstLine="719"/>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5"/>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2"/>
          <w:position w:val="0"/>
          <w:sz w:val="20"/>
          <w:shd w:fill="auto" w:val="clear"/>
        </w:rPr>
        <w:t xml:space="preserve">$</w:t>
      </w:r>
      <w:r>
        <w:rPr>
          <w:rFonts w:ascii="Arial" w:hAnsi="Arial" w:cs="Arial" w:eastAsia="Arial"/>
          <w:color w:val="auto"/>
          <w:spacing w:val="2"/>
          <w:position w:val="0"/>
          <w:sz w:val="20"/>
          <w:shd w:fill="auto" w:val="clear"/>
        </w:rPr>
        <w:t xml:space="preserve">66,400 </w:t>
      </w:r>
      <w:r>
        <w:rPr>
          <w:rFonts w:ascii="Arial" w:hAnsi="Arial" w:cs="Arial" w:eastAsia="Arial"/>
          <w:color w:val="auto"/>
          <w:spacing w:val="0"/>
          <w:position w:val="0"/>
          <w:sz w:val="20"/>
          <w:shd w:fill="auto" w:val="clear"/>
        </w:rPr>
        <w:t xml:space="preserve">In</w:t>
      </w:r>
      <w:r>
        <w:rPr>
          <w:rFonts w:ascii="Arial" w:hAnsi="Arial" w:cs="Arial" w:eastAsia="Arial"/>
          <w:color w:val="auto"/>
          <w:spacing w:val="-3"/>
          <w:position w:val="0"/>
          <w:sz w:val="20"/>
          <w:shd w:fill="auto" w:val="clear"/>
        </w:rPr>
        <w:t xml:space="preserve"> </w:t>
      </w:r>
      <w:r>
        <w:rPr>
          <w:rFonts w:ascii="Arial" w:hAnsi="Arial" w:cs="Arial" w:eastAsia="Arial"/>
          <w:color w:val="auto"/>
          <w:spacing w:val="4"/>
          <w:position w:val="0"/>
          <w:sz w:val="20"/>
          <w:shd w:fill="auto" w:val="clear"/>
        </w:rPr>
        <w:t xml:space="preserve">this</w:t>
      </w:r>
      <w:r>
        <w:rPr>
          <w:rFonts w:ascii="Arial" w:hAnsi="Arial" w:cs="Arial" w:eastAsia="Arial"/>
          <w:color w:val="auto"/>
          <w:spacing w:val="1"/>
          <w:position w:val="0"/>
          <w:sz w:val="20"/>
          <w:shd w:fill="auto" w:val="clear"/>
        </w:rPr>
        <w:t xml:space="preserve"> </w:t>
      </w:r>
      <w:r>
        <w:rPr>
          <w:rFonts w:ascii="Arial" w:hAnsi="Arial" w:cs="Arial" w:eastAsia="Arial"/>
          <w:color w:val="auto"/>
          <w:spacing w:val="5"/>
          <w:position w:val="0"/>
          <w:sz w:val="20"/>
          <w:shd w:fill="auto" w:val="clear"/>
        </w:rPr>
        <w:t xml:space="preserve">Case,</w:t>
      </w:r>
      <w:r>
        <w:rPr>
          <w:rFonts w:ascii="Arial" w:hAnsi="Arial" w:cs="Arial" w:eastAsia="Arial"/>
          <w:color w:val="auto"/>
          <w:spacing w:val="0"/>
          <w:position w:val="0"/>
          <w:sz w:val="20"/>
          <w:shd w:fill="auto" w:val="clear"/>
        </w:rPr>
        <w:t xml:space="preserve"> Mr.</w:t>
      </w:r>
      <w:r>
        <w:rPr>
          <w:rFonts w:ascii="Arial" w:hAnsi="Arial" w:cs="Arial" w:eastAsia="Arial"/>
          <w:color w:val="auto"/>
          <w:spacing w:val="-6"/>
          <w:position w:val="0"/>
          <w:sz w:val="20"/>
          <w:shd w:fill="auto" w:val="clear"/>
        </w:rPr>
        <w:t xml:space="preserve"> </w:t>
      </w:r>
      <w:r>
        <w:rPr>
          <w:rFonts w:ascii="Arial" w:hAnsi="Arial" w:cs="Arial" w:eastAsia="Arial"/>
          <w:color w:val="auto"/>
          <w:spacing w:val="5"/>
          <w:position w:val="0"/>
          <w:sz w:val="20"/>
          <w:shd w:fill="auto" w:val="clear"/>
        </w:rPr>
        <w:t xml:space="preserve">Denham</w:t>
      </w:r>
      <w:r>
        <w:rPr>
          <w:rFonts w:ascii="Arial" w:hAnsi="Arial" w:cs="Arial" w:eastAsia="Arial"/>
          <w:color w:val="auto"/>
          <w:spacing w:val="-1"/>
          <w:position w:val="0"/>
          <w:sz w:val="20"/>
          <w:shd w:fill="auto" w:val="clear"/>
        </w:rPr>
        <w:t xml:space="preserve"> </w:t>
      </w:r>
      <w:r>
        <w:rPr>
          <w:rFonts w:ascii="Arial" w:hAnsi="Arial" w:cs="Arial" w:eastAsia="Arial"/>
          <w:color w:val="auto"/>
          <w:spacing w:val="4"/>
          <w:position w:val="0"/>
          <w:sz w:val="20"/>
          <w:shd w:fill="auto" w:val="clear"/>
        </w:rPr>
        <w:t xml:space="preserve">has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no</w:t>
      </w:r>
      <w:r>
        <w:rPr>
          <w:rFonts w:ascii="Arial" w:hAnsi="Arial" w:cs="Arial" w:eastAsia="Arial"/>
          <w:color w:val="auto"/>
          <w:spacing w:val="-2"/>
          <w:position w:val="0"/>
          <w:sz w:val="20"/>
          <w:shd w:fill="auto" w:val="clear"/>
        </w:rPr>
        <w:t xml:space="preserve"> </w:t>
      </w:r>
      <w:r>
        <w:rPr>
          <w:rFonts w:ascii="Arial" w:hAnsi="Arial" w:cs="Arial" w:eastAsia="Arial"/>
          <w:color w:val="auto"/>
          <w:spacing w:val="4"/>
          <w:position w:val="0"/>
          <w:sz w:val="20"/>
          <w:shd w:fill="auto" w:val="clear"/>
        </w:rPr>
        <w:t xml:space="preserve">loss</w:t>
      </w:r>
      <w:r>
        <w:rPr>
          <w:rFonts w:ascii="Arial" w:hAnsi="Arial" w:cs="Arial" w:eastAsia="Arial"/>
          <w:color w:val="auto"/>
          <w:spacing w:val="1"/>
          <w:position w:val="0"/>
          <w:sz w:val="20"/>
          <w:shd w:fill="auto" w:val="clear"/>
        </w:rPr>
        <w:t xml:space="preserve"> </w:t>
      </w:r>
      <w:r>
        <w:rPr>
          <w:rFonts w:ascii="Arial" w:hAnsi="Arial" w:cs="Arial" w:eastAsia="Arial"/>
          <w:color w:val="auto"/>
          <w:spacing w:val="5"/>
          <w:position w:val="0"/>
          <w:sz w:val="20"/>
          <w:shd w:fill="auto" w:val="clear"/>
        </w:rPr>
        <w:t xml:space="preserve">carry</w:t>
      </w:r>
      <w:r>
        <w:rPr>
          <w:rFonts w:ascii="Arial" w:hAnsi="Arial" w:cs="Arial" w:eastAsia="Arial"/>
          <w:color w:val="auto"/>
          <w:spacing w:val="3"/>
          <w:position w:val="0"/>
          <w:sz w:val="20"/>
          <w:shd w:fill="auto" w:val="clear"/>
        </w:rPr>
        <w:t xml:space="preserve"> </w:t>
      </w:r>
      <w:r>
        <w:rPr>
          <w:rFonts w:ascii="Arial" w:hAnsi="Arial" w:cs="Arial" w:eastAsia="Arial"/>
          <w:color w:val="auto"/>
          <w:spacing w:val="5"/>
          <w:position w:val="0"/>
          <w:sz w:val="20"/>
          <w:shd w:fill="auto" w:val="clear"/>
        </w:rPr>
        <w:t xml:space="preserve">overs</w:t>
      </w:r>
      <w:r>
        <w:rPr>
          <w:rFonts w:ascii="Arial" w:hAnsi="Arial" w:cs="Arial" w:eastAsia="Arial"/>
          <w:color w:val="auto"/>
          <w:spacing w:val="1"/>
          <w:position w:val="0"/>
          <w:sz w:val="20"/>
          <w:shd w:fill="auto" w:val="clear"/>
        </w:rPr>
        <w:t xml:space="preserve"> </w:t>
      </w:r>
      <w:r>
        <w:rPr>
          <w:rFonts w:ascii="Arial" w:hAnsi="Arial" w:cs="Arial" w:eastAsia="Arial"/>
          <w:color w:val="auto"/>
          <w:spacing w:val="0"/>
          <w:position w:val="0"/>
          <w:sz w:val="20"/>
          <w:shd w:fill="auto" w:val="clear"/>
        </w:rPr>
        <w:t xml:space="preserve">at</w:t>
      </w:r>
      <w:r>
        <w:rPr>
          <w:rFonts w:ascii="Arial" w:hAnsi="Arial" w:cs="Arial" w:eastAsia="Arial"/>
          <w:color w:val="auto"/>
          <w:spacing w:val="-2"/>
          <w:position w:val="0"/>
          <w:sz w:val="20"/>
          <w:shd w:fill="auto" w:val="clear"/>
        </w:rPr>
        <w:t xml:space="preserve"> </w:t>
      </w:r>
      <w:r>
        <w:rPr>
          <w:rFonts w:ascii="Arial" w:hAnsi="Arial" w:cs="Arial" w:eastAsia="Arial"/>
          <w:color w:val="auto"/>
          <w:spacing w:val="3"/>
          <w:position w:val="0"/>
          <w:sz w:val="20"/>
          <w:shd w:fill="auto" w:val="clear"/>
        </w:rPr>
        <w:t xml:space="preserve">the</w:t>
      </w:r>
      <w:r>
        <w:rPr>
          <w:rFonts w:ascii="Arial" w:hAnsi="Arial" w:cs="Arial" w:eastAsia="Arial"/>
          <w:color w:val="auto"/>
          <w:spacing w:val="-1"/>
          <w:position w:val="0"/>
          <w:sz w:val="20"/>
          <w:shd w:fill="auto" w:val="clear"/>
        </w:rPr>
        <w:t xml:space="preserve"> </w:t>
      </w:r>
      <w:r>
        <w:rPr>
          <w:rFonts w:ascii="Arial" w:hAnsi="Arial" w:cs="Arial" w:eastAsia="Arial"/>
          <w:color w:val="auto"/>
          <w:spacing w:val="4"/>
          <w:position w:val="0"/>
          <w:sz w:val="20"/>
          <w:shd w:fill="auto" w:val="clear"/>
        </w:rPr>
        <w:t xml:space="preserve">end</w:t>
      </w:r>
      <w:r>
        <w:rPr>
          <w:rFonts w:ascii="Arial" w:hAnsi="Arial" w:cs="Arial" w:eastAsia="Arial"/>
          <w:color w:val="auto"/>
          <w:spacing w:val="0"/>
          <w:position w:val="0"/>
          <w:sz w:val="20"/>
          <w:shd w:fill="auto" w:val="clear"/>
        </w:rPr>
        <w:t xml:space="preserve"> of</w:t>
      </w:r>
      <w:r>
        <w:rPr>
          <w:rFonts w:ascii="Arial" w:hAnsi="Arial" w:cs="Arial" w:eastAsia="Arial"/>
          <w:color w:val="auto"/>
          <w:spacing w:val="-3"/>
          <w:position w:val="0"/>
          <w:sz w:val="20"/>
          <w:shd w:fill="auto" w:val="clear"/>
        </w:rPr>
        <w:t xml:space="preserve"> </w:t>
      </w:r>
      <w:r>
        <w:rPr>
          <w:rFonts w:ascii="Arial" w:hAnsi="Arial" w:cs="Arial" w:eastAsia="Arial"/>
          <w:color w:val="auto"/>
          <w:spacing w:val="3"/>
          <w:position w:val="0"/>
          <w:sz w:val="20"/>
          <w:shd w:fill="auto" w:val="clear"/>
        </w:rPr>
        <w:t xml:space="preserve">the</w:t>
      </w:r>
      <w:r>
        <w:rPr>
          <w:rFonts w:ascii="Arial" w:hAnsi="Arial" w:cs="Arial" w:eastAsia="Arial"/>
          <w:color w:val="auto"/>
          <w:spacing w:val="-2"/>
          <w:position w:val="0"/>
          <w:sz w:val="20"/>
          <w:shd w:fill="auto" w:val="clear"/>
        </w:rPr>
        <w:t xml:space="preserve"> </w:t>
      </w:r>
      <w:r>
        <w:rPr>
          <w:rFonts w:ascii="Arial" w:hAnsi="Arial" w:cs="Arial" w:eastAsia="Arial"/>
          <w:color w:val="auto"/>
          <w:spacing w:val="2"/>
          <w:position w:val="0"/>
          <w:sz w:val="20"/>
          <w:shd w:fill="auto" w:val="clear"/>
        </w:rPr>
        <w:t xml:space="preserve">year.</w:t>
      </w:r>
    </w:p>
    <w:p>
      <w:pPr>
        <w:spacing w:before="0" w:after="0" w:line="240"/>
        <w:ind w:right="0" w:left="261"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B</w:t>
      </w:r>
    </w:p>
    <w:tbl>
      <w:tblPr>
        <w:tblInd w:w="7" w:type="dxa"/>
      </w:tblPr>
      <w:tblGrid>
        <w:gridCol w:w="3470"/>
        <w:gridCol w:w="2232"/>
        <w:gridCol w:w="1370"/>
      </w:tblGrid>
      <w:tr>
        <w:trPr>
          <w:trHeight w:val="463" w:hRule="auto"/>
          <w:jc w:val="left"/>
        </w:trPr>
        <w:tc>
          <w:tcPr>
            <w:tcW w:w="34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4" w:after="0" w:line="240"/>
              <w:ind w:right="1232" w:left="349" w:hanging="221"/>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2232"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13" w:after="0" w:line="240"/>
              <w:ind w:right="0" w:left="54" w:firstLine="0"/>
              <w:jc w:val="center"/>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82,600</w:t>
            </w:r>
          </w:p>
        </w:tc>
        <w:tc>
          <w:tcPr>
            <w:tcW w:w="13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0" w:left="260" w:firstLine="0"/>
              <w:jc w:val="left"/>
              <w:rPr>
                <w:rFonts w:ascii="Calibri" w:hAnsi="Calibri" w:cs="Calibri" w:eastAsia="Calibri"/>
                <w:color w:val="auto"/>
                <w:spacing w:val="0"/>
                <w:position w:val="0"/>
                <w:sz w:val="22"/>
                <w:shd w:fill="auto" w:val="clear"/>
              </w:rPr>
            </w:pPr>
          </w:p>
        </w:tc>
      </w:tr>
      <w:tr>
        <w:trPr>
          <w:trHeight w:val="277" w:hRule="auto"/>
          <w:jc w:val="left"/>
        </w:trPr>
        <w:tc>
          <w:tcPr>
            <w:tcW w:w="34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0" w:left="30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Rental Income</w:t>
            </w:r>
          </w:p>
        </w:tc>
        <w:tc>
          <w:tcPr>
            <w:tcW w:w="2232"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0" w:left="42" w:firstLine="0"/>
              <w:jc w:val="center"/>
              <w:rPr>
                <w:color w:val="auto"/>
                <w:spacing w:val="0"/>
                <w:position w:val="0"/>
                <w:shd w:fill="auto" w:val="clear"/>
              </w:rPr>
            </w:pPr>
            <w:r>
              <w:rPr>
                <w:rFonts w:ascii="Arial" w:hAnsi="Arial" w:cs="Arial" w:eastAsia="Arial"/>
                <w:color w:val="auto"/>
                <w:spacing w:val="0"/>
                <w:position w:val="0"/>
                <w:sz w:val="20"/>
                <w:u w:val="single"/>
                <w:shd w:fill="auto" w:val="clear"/>
              </w:rPr>
              <w:t xml:space="preserve">  12,200</w:t>
            </w:r>
          </w:p>
        </w:tc>
        <w:tc>
          <w:tcPr>
            <w:tcW w:w="13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46" w:left="26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94,800</w:t>
            </w:r>
          </w:p>
        </w:tc>
      </w:tr>
      <w:tr>
        <w:trPr>
          <w:trHeight w:val="512" w:hRule="auto"/>
          <w:jc w:val="left"/>
        </w:trPr>
        <w:tc>
          <w:tcPr>
            <w:tcW w:w="34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33" w:after="0" w:line="240"/>
              <w:ind w:right="1061" w:left="421" w:hanging="360"/>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 Taxable Capital Gains</w:t>
            </w:r>
          </w:p>
        </w:tc>
        <w:tc>
          <w:tcPr>
            <w:tcW w:w="2232"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09" w:after="0" w:line="240"/>
              <w:ind w:right="0" w:left="57" w:firstLine="0"/>
              <w:jc w:val="center"/>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15,600</w:t>
            </w:r>
          </w:p>
        </w:tc>
        <w:tc>
          <w:tcPr>
            <w:tcW w:w="1370"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0" w:left="260" w:firstLine="0"/>
              <w:jc w:val="left"/>
              <w:rPr>
                <w:rFonts w:ascii="Calibri" w:hAnsi="Calibri" w:cs="Calibri" w:eastAsia="Calibri"/>
                <w:color w:val="auto"/>
                <w:spacing w:val="0"/>
                <w:position w:val="0"/>
                <w:sz w:val="22"/>
                <w:shd w:fill="auto" w:val="clear"/>
              </w:rPr>
            </w:pPr>
          </w:p>
        </w:tc>
      </w:tr>
      <w:tr>
        <w:trPr>
          <w:trHeight w:val="252" w:hRule="auto"/>
          <w:jc w:val="left"/>
        </w:trPr>
        <w:tc>
          <w:tcPr>
            <w:tcW w:w="3470"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0" w:left="42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2232"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0" w:left="39" w:firstLine="0"/>
              <w:jc w:val="center"/>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23,400</w:t>
            </w:r>
            <w:r>
              <w:rPr>
                <w:rFonts w:ascii="Arial" w:hAnsi="Arial" w:cs="Arial" w:eastAsia="Arial"/>
                <w:color w:val="auto"/>
                <w:spacing w:val="0"/>
                <w:position w:val="0"/>
                <w:sz w:val="20"/>
                <w:shd w:fill="auto" w:val="clear"/>
              </w:rPr>
              <w:t xml:space="preserve">)</w:t>
            </w:r>
          </w:p>
        </w:tc>
        <w:tc>
          <w:tcPr>
            <w:tcW w:w="1370"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111" w:left="26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Nil</w:t>
            </w:r>
          </w:p>
        </w:tc>
      </w:tr>
      <w:tr>
        <w:trPr>
          <w:trHeight w:val="292" w:hRule="auto"/>
          <w:jc w:val="left"/>
        </w:trPr>
        <w:tc>
          <w:tcPr>
            <w:tcW w:w="3470"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0" w:left="6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2232"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17" w:after="0" w:line="240"/>
              <w:ind w:right="0" w:left="260" w:firstLine="0"/>
              <w:jc w:val="left"/>
              <w:rPr>
                <w:rFonts w:ascii="Calibri" w:hAnsi="Calibri" w:cs="Calibri" w:eastAsia="Calibri"/>
                <w:color w:val="auto"/>
                <w:spacing w:val="0"/>
                <w:position w:val="0"/>
                <w:sz w:val="22"/>
                <w:shd w:fill="auto" w:val="clear"/>
              </w:rPr>
            </w:pPr>
          </w:p>
        </w:tc>
        <w:tc>
          <w:tcPr>
            <w:tcW w:w="1370"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112" w:left="26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94,800</w:t>
            </w:r>
          </w:p>
        </w:tc>
      </w:tr>
      <w:tr>
        <w:trPr>
          <w:trHeight w:val="267" w:hRule="auto"/>
          <w:jc w:val="left"/>
        </w:trPr>
        <w:tc>
          <w:tcPr>
            <w:tcW w:w="3470"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0" w:left="6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Subdivision e Deductions</w:t>
            </w:r>
          </w:p>
        </w:tc>
        <w:tc>
          <w:tcPr>
            <w:tcW w:w="2232"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0" w:left="260" w:firstLine="0"/>
              <w:jc w:val="left"/>
              <w:rPr>
                <w:rFonts w:ascii="Calibri" w:hAnsi="Calibri" w:cs="Calibri" w:eastAsia="Calibri"/>
                <w:color w:val="auto"/>
                <w:spacing w:val="0"/>
                <w:position w:val="0"/>
                <w:sz w:val="22"/>
                <w:shd w:fill="auto" w:val="clear"/>
              </w:rPr>
            </w:pPr>
          </w:p>
        </w:tc>
        <w:tc>
          <w:tcPr>
            <w:tcW w:w="1370"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tabs>
                <w:tab w:val="left" w:pos="304" w:leader="none"/>
              </w:tabs>
              <w:spacing w:before="17" w:after="0" w:line="240"/>
              <w:ind w:right="55" w:left="260" w:firstLine="0"/>
              <w:jc w:val="right"/>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ab/>
            </w:r>
            <w:r>
              <w:rPr>
                <w:rFonts w:ascii="Arial" w:hAnsi="Arial" w:cs="Arial" w:eastAsia="Arial"/>
                <w:color w:val="auto"/>
                <w:spacing w:val="7"/>
                <w:position w:val="0"/>
                <w:sz w:val="20"/>
                <w:shd w:fill="auto" w:val="clear"/>
              </w:rPr>
              <w:t xml:space="preserve">5,400</w:t>
            </w:r>
            <w:r>
              <w:rPr>
                <w:rFonts w:ascii="Arial" w:hAnsi="Arial" w:cs="Arial" w:eastAsia="Arial"/>
                <w:color w:val="auto"/>
                <w:spacing w:val="7"/>
                <w:position w:val="0"/>
                <w:sz w:val="20"/>
                <w:shd w:fill="auto" w:val="clear"/>
              </w:rPr>
              <w:t xml:space="preserve">)</w:t>
            </w:r>
          </w:p>
        </w:tc>
      </w:tr>
      <w:tr>
        <w:trPr>
          <w:trHeight w:val="792" w:hRule="auto"/>
          <w:jc w:val="left"/>
        </w:trPr>
        <w:tc>
          <w:tcPr>
            <w:tcW w:w="3470"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50" w:after="0" w:line="240"/>
              <w:ind w:right="1054" w:left="61"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7" w:after="0" w:line="240"/>
              <w:ind w:right="0" w:left="421"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Business Loss</w:t>
            </w:r>
          </w:p>
        </w:tc>
        <w:tc>
          <w:tcPr>
            <w:tcW w:w="2232"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17" w:after="0" w:line="240"/>
              <w:ind w:right="0" w:left="260" w:firstLine="0"/>
              <w:jc w:val="left"/>
              <w:rPr>
                <w:rFonts w:ascii="Calibri" w:hAnsi="Calibri" w:cs="Calibri" w:eastAsia="Calibri"/>
                <w:color w:val="auto"/>
                <w:spacing w:val="0"/>
                <w:position w:val="0"/>
                <w:sz w:val="22"/>
                <w:shd w:fill="auto" w:val="clear"/>
              </w:rPr>
            </w:pPr>
          </w:p>
        </w:tc>
        <w:tc>
          <w:tcPr>
            <w:tcW w:w="1370"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42" w:after="0" w:line="240"/>
              <w:ind w:right="0" w:left="44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89,400</w:t>
            </w:r>
          </w:p>
          <w:p>
            <w:pPr>
              <w:spacing w:before="4" w:after="0" w:line="240"/>
              <w:ind w:right="0" w:left="260" w:firstLine="0"/>
              <w:jc w:val="left"/>
              <w:rPr>
                <w:rFonts w:ascii="Arial" w:hAnsi="Arial" w:cs="Arial" w:eastAsia="Arial"/>
                <w:color w:val="auto"/>
                <w:spacing w:val="0"/>
                <w:position w:val="0"/>
                <w:sz w:val="23"/>
                <w:shd w:fill="auto" w:val="clear"/>
              </w:rPr>
            </w:pPr>
          </w:p>
          <w:p>
            <w:pPr>
              <w:tabs>
                <w:tab w:val="left" w:pos="709" w:leader="none"/>
              </w:tabs>
              <w:spacing w:before="17" w:after="0" w:line="240"/>
              <w:ind w:right="0" w:left="404" w:firstLine="0"/>
              <w:jc w:val="left"/>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ab/>
            </w:r>
            <w:r>
              <w:rPr>
                <w:rFonts w:ascii="Arial" w:hAnsi="Arial" w:cs="Arial" w:eastAsia="Arial"/>
                <w:color w:val="auto"/>
                <w:spacing w:val="7"/>
                <w:position w:val="0"/>
                <w:sz w:val="20"/>
                <w:shd w:fill="auto" w:val="clear"/>
              </w:rPr>
              <w:t xml:space="preserve">8,400</w:t>
            </w:r>
            <w:r>
              <w:rPr>
                <w:rFonts w:ascii="Arial" w:hAnsi="Arial" w:cs="Arial" w:eastAsia="Arial"/>
                <w:color w:val="auto"/>
                <w:spacing w:val="7"/>
                <w:position w:val="0"/>
                <w:sz w:val="20"/>
                <w:shd w:fill="auto" w:val="clear"/>
              </w:rPr>
              <w:t xml:space="preserve">)</w:t>
            </w:r>
          </w:p>
        </w:tc>
      </w:tr>
    </w:tbl>
    <w:p>
      <w:pPr>
        <w:spacing w:before="17" w:after="0" w:line="240"/>
        <w:ind w:right="0" w:left="260" w:firstLine="0"/>
        <w:jc w:val="left"/>
        <w:rPr>
          <w:rFonts w:ascii="Arial" w:hAnsi="Arial" w:cs="Arial" w:eastAsia="Arial"/>
          <w:color w:val="auto"/>
          <w:spacing w:val="0"/>
          <w:position w:val="0"/>
          <w:sz w:val="20"/>
          <w:shd w:fill="auto" w:val="clear"/>
        </w:rPr>
      </w:pPr>
    </w:p>
    <w:p>
      <w:pPr>
        <w:spacing w:before="17" w:after="0" w:line="240"/>
        <w:ind w:right="0" w:left="26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B solution would be calculated as follows:</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11" w:after="0" w:line="240"/>
        <w:ind w:right="0" w:left="0" w:firstLine="0"/>
        <w:jc w:val="left"/>
        <w:rPr>
          <w:rFonts w:ascii="Arial" w:hAnsi="Arial" w:cs="Arial" w:eastAsia="Arial"/>
          <w:color w:val="auto"/>
          <w:spacing w:val="0"/>
          <w:position w:val="0"/>
          <w:sz w:val="27"/>
          <w:shd w:fill="auto" w:val="clear"/>
        </w:rPr>
      </w:pPr>
    </w:p>
    <w:p>
      <w:pPr>
        <w:tabs>
          <w:tab w:val="left" w:pos="7092" w:leader="none"/>
        </w:tabs>
        <w:spacing w:before="0" w:after="0" w:line="560"/>
        <w:ind w:right="1669" w:left="260" w:firstLine="718"/>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5"/>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8"/>
          <w:position w:val="0"/>
          <w:sz w:val="20"/>
          <w:shd w:fill="auto" w:val="clear"/>
        </w:rPr>
        <w:t xml:space="preserve">$</w:t>
      </w:r>
      <w:r>
        <w:rPr>
          <w:rFonts w:ascii="Arial" w:hAnsi="Arial" w:cs="Arial" w:eastAsia="Arial"/>
          <w:color w:val="auto"/>
          <w:spacing w:val="8"/>
          <w:position w:val="0"/>
          <w:sz w:val="20"/>
          <w:shd w:fill="auto" w:val="clear"/>
        </w:rPr>
        <w:t xml:space="preserve">81,000 </w:t>
      </w:r>
      <w:r>
        <w:rPr>
          <w:rFonts w:ascii="Arial" w:hAnsi="Arial" w:cs="Arial" w:eastAsia="Arial"/>
          <w:color w:val="auto"/>
          <w:spacing w:val="0"/>
          <w:position w:val="0"/>
          <w:sz w:val="20"/>
          <w:shd w:fill="auto" w:val="clear"/>
        </w:rPr>
        <w:t xml:space="preserve">In this Case, Mr. Denham has an allowable capital loss carry over of $</w:t>
      </w:r>
      <w:r>
        <w:rPr>
          <w:rFonts w:ascii="Arial" w:hAnsi="Arial" w:cs="Arial" w:eastAsia="Arial"/>
          <w:color w:val="auto"/>
          <w:spacing w:val="0"/>
          <w:position w:val="0"/>
          <w:sz w:val="20"/>
          <w:shd w:fill="auto" w:val="clear"/>
        </w:rPr>
        <w:t xml:space="preserve">7,800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15,600</w:t>
      </w:r>
      <w:r>
        <w:rPr>
          <w:rFonts w:ascii="Arial" w:hAnsi="Arial" w:cs="Arial" w:eastAsia="Arial"/>
          <w:color w:val="auto"/>
          <w:spacing w:val="-36"/>
          <w:position w:val="0"/>
          <w:sz w:val="20"/>
          <w:shd w:fill="auto" w:val="clear"/>
        </w:rPr>
        <w:t xml:space="preserve"> </w:t>
      </w:r>
      <w:r>
        <w:rPr>
          <w:rFonts w:ascii="Cambria Math" w:hAnsi="Cambria Math" w:cs="Cambria Math" w:eastAsia="Cambria Math"/>
          <w:color w:val="auto"/>
          <w:spacing w:val="0"/>
          <w:position w:val="0"/>
          <w:sz w:val="20"/>
          <w:shd w:fill="auto" w:val="clear"/>
        </w:rPr>
        <w:t xml:space="preserve">−</w:t>
      </w:r>
    </w:p>
    <w:p>
      <w:pPr>
        <w:spacing w:before="9" w:after="0" w:line="240"/>
        <w:ind w:right="0" w:left="26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23,400</w:t>
      </w:r>
      <w:r>
        <w:rPr>
          <w:rFonts w:ascii="Arial" w:hAnsi="Arial" w:cs="Arial" w:eastAsia="Arial"/>
          <w:color w:val="auto"/>
          <w:spacing w:val="0"/>
          <w:position w:val="0"/>
          <w:sz w:val="20"/>
          <w:shd w:fill="auto" w:val="clear"/>
        </w:rPr>
        <w:t xml:space="preserve">).</w:t>
      </w:r>
    </w:p>
    <w:p>
      <w:pPr>
        <w:spacing w:before="1" w:after="0" w:line="240"/>
        <w:ind w:right="0" w:left="0" w:firstLine="0"/>
        <w:jc w:val="left"/>
        <w:rPr>
          <w:rFonts w:ascii="Arial" w:hAnsi="Arial" w:cs="Arial" w:eastAsia="Arial"/>
          <w:color w:val="auto"/>
          <w:spacing w:val="0"/>
          <w:position w:val="0"/>
          <w:sz w:val="25"/>
          <w:shd w:fill="auto" w:val="clear"/>
        </w:rPr>
      </w:pPr>
    </w:p>
    <w:p>
      <w:pPr>
        <w:spacing w:before="0"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C</w:t>
      </w:r>
    </w:p>
    <w:p>
      <w:pPr>
        <w:spacing w:before="18" w:after="0" w:line="240"/>
        <w:ind w:right="0" w:left="26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C solution would be calculated as follows:</w:t>
      </w:r>
    </w:p>
    <w:p>
      <w:pPr>
        <w:spacing w:before="5" w:after="0" w:line="240"/>
        <w:ind w:right="0" w:left="0" w:firstLine="0"/>
        <w:jc w:val="left"/>
        <w:rPr>
          <w:rFonts w:ascii="Arial" w:hAnsi="Arial" w:cs="Arial" w:eastAsia="Arial"/>
          <w:color w:val="auto"/>
          <w:spacing w:val="0"/>
          <w:position w:val="0"/>
          <w:sz w:val="19"/>
          <w:shd w:fill="auto" w:val="clear"/>
        </w:rPr>
      </w:pPr>
    </w:p>
    <w:tbl>
      <w:tblPr>
        <w:tblInd w:w="973" w:type="dxa"/>
      </w:tblPr>
      <w:tblGrid>
        <w:gridCol w:w="3515"/>
        <w:gridCol w:w="2153"/>
        <w:gridCol w:w="1364"/>
      </w:tblGrid>
      <w:tr>
        <w:trPr>
          <w:trHeight w:val="462" w:hRule="auto"/>
          <w:jc w:val="left"/>
        </w:trPr>
        <w:tc>
          <w:tcPr>
            <w:tcW w:w="3515"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4" w:after="0" w:line="240"/>
              <w:ind w:right="1249" w:left="423" w:hanging="359"/>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215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213" w:after="0" w:line="240"/>
              <w:ind w:right="0" w:left="73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46,700</w:t>
            </w:r>
          </w:p>
        </w:tc>
        <w:tc>
          <w:tcPr>
            <w:tcW w:w="136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31" w:hRule="auto"/>
          <w:jc w:val="left"/>
        </w:trPr>
        <w:tc>
          <w:tcPr>
            <w:tcW w:w="3515"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423"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Rental Income</w:t>
            </w:r>
          </w:p>
        </w:tc>
        <w:tc>
          <w:tcPr>
            <w:tcW w:w="215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737" w:firstLine="0"/>
              <w:jc w:val="left"/>
              <w:rPr>
                <w:color w:val="auto"/>
                <w:spacing w:val="0"/>
                <w:position w:val="0"/>
                <w:shd w:fill="auto" w:val="clear"/>
              </w:rPr>
            </w:pPr>
            <w:r>
              <w:rPr>
                <w:rFonts w:ascii="Arial" w:hAnsi="Arial" w:cs="Arial" w:eastAsia="Arial"/>
                <w:color w:val="auto"/>
                <w:spacing w:val="0"/>
                <w:position w:val="0"/>
                <w:sz w:val="20"/>
                <w:u w:val="single"/>
                <w:shd w:fill="auto" w:val="clear"/>
              </w:rPr>
              <w:t xml:space="preserve">    2,600</w:t>
            </w:r>
          </w:p>
        </w:tc>
        <w:tc>
          <w:tcPr>
            <w:tcW w:w="136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69"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49,300</w:t>
            </w:r>
          </w:p>
        </w:tc>
      </w:tr>
      <w:tr>
        <w:trPr>
          <w:trHeight w:val="499" w:hRule="auto"/>
          <w:jc w:val="left"/>
        </w:trPr>
        <w:tc>
          <w:tcPr>
            <w:tcW w:w="3515"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64"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w:t>
            </w:r>
          </w:p>
          <w:p>
            <w:pPr>
              <w:spacing w:before="1" w:after="0" w:line="240"/>
              <w:ind w:right="0" w:left="42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Taxable Capital Gains</w:t>
            </w:r>
          </w:p>
        </w:tc>
        <w:tc>
          <w:tcPr>
            <w:tcW w:w="2153"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Arial" w:hAnsi="Arial" w:cs="Arial" w:eastAsia="Arial"/>
                <w:color w:val="auto"/>
                <w:spacing w:val="0"/>
                <w:position w:val="0"/>
                <w:sz w:val="23"/>
                <w:shd w:fill="auto" w:val="clear"/>
              </w:rPr>
            </w:pPr>
          </w:p>
          <w:p>
            <w:pPr>
              <w:spacing w:before="0" w:after="0" w:line="240"/>
              <w:ind w:right="0" w:left="74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11,600</w:t>
            </w:r>
          </w:p>
        </w:tc>
        <w:tc>
          <w:tcPr>
            <w:tcW w:w="136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50" w:hRule="auto"/>
          <w:jc w:val="left"/>
        </w:trPr>
        <w:tc>
          <w:tcPr>
            <w:tcW w:w="3515"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42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215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737"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10,700</w:t>
            </w:r>
            <w:r>
              <w:rPr>
                <w:rFonts w:ascii="Arial" w:hAnsi="Arial" w:cs="Arial" w:eastAsia="Arial"/>
                <w:color w:val="auto"/>
                <w:spacing w:val="0"/>
                <w:position w:val="0"/>
                <w:sz w:val="20"/>
                <w:shd w:fill="auto" w:val="clear"/>
              </w:rPr>
              <w:t xml:space="preserve">)</w:t>
            </w:r>
          </w:p>
        </w:tc>
        <w:tc>
          <w:tcPr>
            <w:tcW w:w="136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66"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900</w:t>
            </w:r>
          </w:p>
        </w:tc>
      </w:tr>
      <w:tr>
        <w:trPr>
          <w:trHeight w:val="292" w:hRule="auto"/>
          <w:jc w:val="left"/>
        </w:trPr>
        <w:tc>
          <w:tcPr>
            <w:tcW w:w="3515"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0" w:left="6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2153"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4"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69"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50,200</w:t>
            </w:r>
          </w:p>
        </w:tc>
      </w:tr>
      <w:tr>
        <w:trPr>
          <w:trHeight w:val="269" w:hRule="auto"/>
          <w:jc w:val="left"/>
        </w:trPr>
        <w:tc>
          <w:tcPr>
            <w:tcW w:w="3515"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64"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Subdivision e Deductions</w:t>
            </w:r>
          </w:p>
        </w:tc>
        <w:tc>
          <w:tcPr>
            <w:tcW w:w="2153"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36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15"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11,600</w:t>
            </w:r>
            <w:r>
              <w:rPr>
                <w:rFonts w:ascii="Arial" w:hAnsi="Arial" w:cs="Arial" w:eastAsia="Arial"/>
                <w:color w:val="auto"/>
                <w:spacing w:val="0"/>
                <w:position w:val="0"/>
                <w:sz w:val="20"/>
                <w:shd w:fill="auto" w:val="clear"/>
              </w:rPr>
              <w:t xml:space="preserve">)</w:t>
            </w:r>
          </w:p>
        </w:tc>
      </w:tr>
    </w:tbl>
    <w:p>
      <w:pPr>
        <w:spacing w:before="0" w:after="0" w:line="240"/>
        <w:ind w:right="0" w:left="0" w:firstLine="0"/>
        <w:jc w:val="right"/>
        <w:rPr>
          <w:rFonts w:ascii="Arial" w:hAnsi="Arial" w:cs="Arial" w:eastAsia="Arial"/>
          <w:color w:val="auto"/>
          <w:spacing w:val="0"/>
          <w:position w:val="0"/>
          <w:sz w:val="20"/>
          <w:shd w:fill="auto" w:val="clear"/>
        </w:rPr>
      </w:pPr>
    </w:p>
    <w:p>
      <w:pPr>
        <w:spacing w:before="1" w:after="1" w:line="240"/>
        <w:ind w:right="0" w:left="0" w:firstLine="0"/>
        <w:jc w:val="left"/>
        <w:rPr>
          <w:rFonts w:ascii="Arial" w:hAnsi="Arial" w:cs="Arial" w:eastAsia="Arial"/>
          <w:color w:val="auto"/>
          <w:spacing w:val="0"/>
          <w:position w:val="0"/>
          <w:sz w:val="26"/>
          <w:shd w:fill="auto" w:val="clear"/>
        </w:rPr>
      </w:pPr>
    </w:p>
    <w:tbl>
      <w:tblPr>
        <w:tblInd w:w="980" w:type="dxa"/>
      </w:tblPr>
      <w:tblGrid>
        <w:gridCol w:w="4281"/>
        <w:gridCol w:w="2736"/>
      </w:tblGrid>
      <w:tr>
        <w:trPr>
          <w:trHeight w:val="792" w:hRule="auto"/>
          <w:jc w:val="left"/>
        </w:trPr>
        <w:tc>
          <w:tcPr>
            <w:tcW w:w="4281"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47" w:after="0" w:line="240"/>
              <w:ind w:right="1869" w:left="57"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6" w:after="0" w:line="240"/>
              <w:ind w:right="0" w:left="417"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Business Loss</w:t>
            </w:r>
          </w:p>
        </w:tc>
        <w:tc>
          <w:tcPr>
            <w:tcW w:w="2736" w:type="dxa"/>
            <w:tcBorders>
              <w:top w:val="single" w:color="221f1f" w:sz="4"/>
              <w:left w:val="single" w:color="836967" w:sz="0"/>
              <w:bottom w:val="single" w:color="221f1f" w:sz="4"/>
              <w:right w:val="single" w:color="836967" w:sz="0"/>
            </w:tcBorders>
            <w:shd w:color="000000" w:fill="ffffff" w:val="clear"/>
            <w:tcMar>
              <w:left w:w="10" w:type="dxa"/>
              <w:right w:w="10" w:type="dxa"/>
            </w:tcMar>
            <w:vAlign w:val="top"/>
          </w:tcPr>
          <w:p>
            <w:pPr>
              <w:spacing w:before="41" w:after="0" w:line="240"/>
              <w:ind w:right="54" w:left="0" w:firstLine="0"/>
              <w:jc w:val="righ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38,600</w:t>
            </w:r>
          </w:p>
          <w:p>
            <w:pPr>
              <w:spacing w:before="5" w:after="0" w:line="240"/>
              <w:ind w:right="0" w:left="0" w:firstLine="0"/>
              <w:jc w:val="left"/>
              <w:rPr>
                <w:rFonts w:ascii="Arial" w:hAnsi="Arial" w:cs="Arial" w:eastAsia="Arial"/>
                <w:color w:val="auto"/>
                <w:spacing w:val="0"/>
                <w:position w:val="0"/>
                <w:sz w:val="23"/>
                <w:shd w:fill="auto" w:val="clear"/>
              </w:rPr>
            </w:pPr>
          </w:p>
          <w:p>
            <w:pPr>
              <w:spacing w:before="0" w:after="0" w:line="240"/>
              <w:ind w:right="5"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62,300</w:t>
            </w:r>
            <w:r>
              <w:rPr>
                <w:rFonts w:ascii="Arial" w:hAnsi="Arial" w:cs="Arial" w:eastAsia="Arial"/>
                <w:color w:val="auto"/>
                <w:spacing w:val="0"/>
                <w:position w:val="0"/>
                <w:sz w:val="20"/>
                <w:shd w:fill="auto" w:val="clear"/>
              </w:rPr>
              <w:t xml:space="preserve">)</w:t>
            </w:r>
          </w:p>
        </w:tc>
      </w:tr>
    </w:tbl>
    <w:p>
      <w:pPr>
        <w:tabs>
          <w:tab w:val="left" w:pos="7580" w:leader="none"/>
        </w:tabs>
        <w:spacing w:before="23" w:after="22" w:line="240"/>
        <w:ind w:right="0" w:left="968" w:firstLine="0"/>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5"/>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5"/>
          <w:position w:val="0"/>
          <w:sz w:val="20"/>
          <w:shd w:fill="auto" w:val="clear"/>
        </w:rPr>
        <w:t xml:space="preserve">Nil</w:t>
      </w:r>
    </w:p>
    <w:p>
      <w:pPr>
        <w:spacing w:before="0" w:after="0" w:line="240"/>
        <w:ind w:right="0" w:left="975" w:firstLine="0"/>
        <w:jc w:val="left"/>
        <w:rPr>
          <w:rFonts w:ascii="Arial" w:hAnsi="Arial" w:cs="Arial" w:eastAsia="Arial"/>
          <w:color w:val="auto"/>
          <w:spacing w:val="0"/>
          <w:position w:val="0"/>
          <w:sz w:val="5"/>
          <w:shd w:fill="auto" w:val="clear"/>
        </w:rPr>
      </w:pPr>
    </w:p>
    <w:p>
      <w:pPr>
        <w:spacing w:before="7" w:after="0" w:line="240"/>
        <w:ind w:right="0" w:left="0" w:firstLine="0"/>
        <w:jc w:val="left"/>
        <w:rPr>
          <w:rFonts w:ascii="Arial" w:hAnsi="Arial" w:cs="Arial" w:eastAsia="Arial"/>
          <w:color w:val="auto"/>
          <w:spacing w:val="0"/>
          <w:position w:val="0"/>
          <w:sz w:val="21"/>
          <w:shd w:fill="auto" w:val="clear"/>
        </w:rPr>
      </w:pPr>
    </w:p>
    <w:p>
      <w:pPr>
        <w:spacing w:before="1" w:after="0" w:line="247"/>
        <w:ind w:right="909" w:left="740"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 this Case, Mr. Denham would have a business loss carry over in the amount of $</w:t>
      </w:r>
      <w:r>
        <w:rPr>
          <w:rFonts w:ascii="Arial" w:hAnsi="Arial" w:cs="Arial" w:eastAsia="Arial"/>
          <w:color w:val="auto"/>
          <w:spacing w:val="0"/>
          <w:position w:val="0"/>
          <w:sz w:val="20"/>
          <w:shd w:fill="auto" w:val="clear"/>
        </w:rPr>
        <w:t xml:space="preserve">23,700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38,600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62,300</w:t>
      </w:r>
      <w:r>
        <w:rPr>
          <w:rFonts w:ascii="Arial" w:hAnsi="Arial" w:cs="Arial" w:eastAsia="Arial"/>
          <w:color w:val="auto"/>
          <w:spacing w:val="0"/>
          <w:position w:val="0"/>
          <w:sz w:val="20"/>
          <w:shd w:fill="auto" w:val="clear"/>
        </w:rPr>
        <w:t xml:space="preserve">).</w:t>
      </w:r>
    </w:p>
    <w:p>
      <w:pPr>
        <w:spacing w:before="10" w:after="0" w:line="240"/>
        <w:ind w:right="0" w:left="0" w:firstLine="0"/>
        <w:jc w:val="left"/>
        <w:rPr>
          <w:rFonts w:ascii="Arial" w:hAnsi="Arial" w:cs="Arial" w:eastAsia="Arial"/>
          <w:color w:val="auto"/>
          <w:spacing w:val="0"/>
          <w:position w:val="0"/>
          <w:sz w:val="25"/>
          <w:shd w:fill="auto" w:val="clear"/>
        </w:rPr>
      </w:pPr>
    </w:p>
    <w:p>
      <w:pPr>
        <w:spacing w:before="0" w:after="0" w:line="240"/>
        <w:ind w:right="0" w:left="260" w:firstLine="0"/>
        <w:jc w:val="left"/>
        <w:rPr>
          <w:rFonts w:ascii="Arial" w:hAnsi="Arial" w:cs="Arial" w:eastAsia="Arial"/>
          <w:b/>
          <w:i/>
          <w:color w:val="auto"/>
          <w:spacing w:val="0"/>
          <w:position w:val="0"/>
          <w:sz w:val="20"/>
          <w:shd w:fill="auto" w:val="clear"/>
        </w:rPr>
      </w:pPr>
      <w:r>
        <w:rPr>
          <w:rFonts w:ascii="Arial" w:hAnsi="Arial" w:cs="Arial" w:eastAsia="Arial"/>
          <w:b/>
          <w:i/>
          <w:color w:val="auto"/>
          <w:spacing w:val="0"/>
          <w:position w:val="0"/>
          <w:sz w:val="20"/>
          <w:shd w:fill="auto" w:val="clear"/>
        </w:rPr>
        <w:t xml:space="preserve">Case D</w:t>
      </w:r>
    </w:p>
    <w:p>
      <w:pPr>
        <w:spacing w:before="17" w:after="48" w:line="240"/>
        <w:ind w:right="0" w:left="248"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The Case D solution would be calculated as follows:</w:t>
      </w:r>
    </w:p>
    <w:tbl>
      <w:tblPr>
        <w:tblInd w:w="964" w:type="dxa"/>
      </w:tblPr>
      <w:tblGrid>
        <w:gridCol w:w="3598"/>
        <w:gridCol w:w="2614"/>
        <w:gridCol w:w="1262"/>
      </w:tblGrid>
      <w:tr>
        <w:trPr>
          <w:trHeight w:val="453" w:hRule="auto"/>
          <w:jc w:val="left"/>
        </w:trPr>
        <w:tc>
          <w:tcPr>
            <w:tcW w:w="3598"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4" w:after="0" w:line="240"/>
              <w:ind w:right="1234" w:left="423" w:hanging="261"/>
              <w:jc w:val="left"/>
              <w:rPr>
                <w:color w:val="auto"/>
                <w:spacing w:val="0"/>
                <w:position w:val="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Employment Income</w:t>
            </w:r>
          </w:p>
        </w:tc>
        <w:tc>
          <w:tcPr>
            <w:tcW w:w="261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262"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134" w:after="0" w:line="240"/>
              <w:ind w:right="6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33,400</w:t>
            </w:r>
          </w:p>
        </w:tc>
      </w:tr>
      <w:tr>
        <w:trPr>
          <w:trHeight w:val="495" w:hRule="auto"/>
          <w:jc w:val="left"/>
        </w:trPr>
        <w:tc>
          <w:tcPr>
            <w:tcW w:w="3598"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9"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Income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(b):</w:t>
            </w:r>
          </w:p>
          <w:p>
            <w:pPr>
              <w:spacing w:before="0" w:after="0" w:line="240"/>
              <w:ind w:right="0" w:left="25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Taxable Capital Gains</w:t>
            </w:r>
          </w:p>
        </w:tc>
        <w:tc>
          <w:tcPr>
            <w:tcW w:w="2614"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7" w:after="0" w:line="240"/>
              <w:ind w:right="0" w:left="0" w:firstLine="0"/>
              <w:jc w:val="left"/>
              <w:rPr>
                <w:rFonts w:ascii="Arial" w:hAnsi="Arial" w:cs="Arial" w:eastAsia="Arial"/>
                <w:color w:val="auto"/>
                <w:spacing w:val="0"/>
                <w:position w:val="0"/>
                <w:sz w:val="22"/>
                <w:shd w:fill="auto" w:val="clear"/>
              </w:rPr>
            </w:pPr>
          </w:p>
          <w:p>
            <w:pPr>
              <w:spacing w:before="0" w:after="0" w:line="240"/>
              <w:ind w:right="0" w:left="853"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23,100</w:t>
            </w:r>
          </w:p>
        </w:tc>
        <w:tc>
          <w:tcPr>
            <w:tcW w:w="1262" w:type="dxa"/>
            <w:tcBorders>
              <w:top w:val="single" w:color="836967" w:sz="0"/>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250" w:hRule="auto"/>
          <w:jc w:val="left"/>
        </w:trPr>
        <w:tc>
          <w:tcPr>
            <w:tcW w:w="3598"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25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Allowable Capital Losses</w:t>
            </w:r>
          </w:p>
        </w:tc>
        <w:tc>
          <w:tcPr>
            <w:tcW w:w="261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852"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24,700</w:t>
            </w:r>
            <w:r>
              <w:rPr>
                <w:rFonts w:ascii="Arial" w:hAnsi="Arial" w:cs="Arial" w:eastAsia="Arial"/>
                <w:color w:val="auto"/>
                <w:spacing w:val="0"/>
                <w:position w:val="0"/>
                <w:sz w:val="20"/>
                <w:shd w:fill="auto" w:val="clear"/>
              </w:rPr>
              <w:t xml:space="preserve">)</w:t>
            </w:r>
          </w:p>
        </w:tc>
        <w:tc>
          <w:tcPr>
            <w:tcW w:w="1262"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6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Nil</w:t>
            </w:r>
          </w:p>
        </w:tc>
      </w:tr>
      <w:tr>
        <w:trPr>
          <w:trHeight w:val="292" w:hRule="auto"/>
          <w:jc w:val="left"/>
        </w:trPr>
        <w:tc>
          <w:tcPr>
            <w:tcW w:w="3598"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0" w:left="1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(a) And (b)</w:t>
            </w:r>
          </w:p>
        </w:tc>
        <w:tc>
          <w:tcPr>
            <w:tcW w:w="2614"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262"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63" w:left="0" w:firstLine="0"/>
              <w:jc w:val="right"/>
              <w:rPr>
                <w:color w:val="auto"/>
                <w:spacing w:val="0"/>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33,400</w:t>
            </w:r>
          </w:p>
        </w:tc>
      </w:tr>
      <w:tr>
        <w:trPr>
          <w:trHeight w:val="267" w:hRule="auto"/>
          <w:jc w:val="left"/>
        </w:trPr>
        <w:tc>
          <w:tcPr>
            <w:tcW w:w="3598"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10"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Subdivision e Deductions</w:t>
            </w:r>
          </w:p>
        </w:tc>
        <w:tc>
          <w:tcPr>
            <w:tcW w:w="261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262"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tabs>
                <w:tab w:val="left" w:pos="304" w:leader="none"/>
              </w:tabs>
              <w:spacing w:before="0" w:after="0" w:line="240"/>
              <w:ind w:right="7" w:left="0" w:firstLine="0"/>
              <w:jc w:val="right"/>
              <w:rPr>
                <w:color w:val="auto"/>
                <w:position w:val="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ab/>
            </w:r>
            <w:r>
              <w:rPr>
                <w:rFonts w:ascii="Arial" w:hAnsi="Arial" w:cs="Arial" w:eastAsia="Arial"/>
                <w:color w:val="auto"/>
                <w:spacing w:val="7"/>
                <w:position w:val="0"/>
                <w:sz w:val="20"/>
                <w:shd w:fill="auto" w:val="clear"/>
              </w:rPr>
              <w:t xml:space="preserve">5,600</w:t>
            </w:r>
            <w:r>
              <w:rPr>
                <w:rFonts w:ascii="Arial" w:hAnsi="Arial" w:cs="Arial" w:eastAsia="Arial"/>
                <w:color w:val="auto"/>
                <w:spacing w:val="7"/>
                <w:position w:val="0"/>
                <w:sz w:val="20"/>
                <w:shd w:fill="auto" w:val="clear"/>
              </w:rPr>
              <w:t xml:space="preserve">)</w:t>
            </w:r>
          </w:p>
        </w:tc>
      </w:tr>
      <w:tr>
        <w:trPr>
          <w:trHeight w:val="776" w:hRule="auto"/>
          <w:jc w:val="left"/>
        </w:trPr>
        <w:tc>
          <w:tcPr>
            <w:tcW w:w="3598"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50" w:after="0" w:line="240"/>
              <w:ind w:right="1234" w:left="9" w:firstLine="1"/>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Balance From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(c) Deduction Under ITA </w:t>
            </w:r>
            <w:r>
              <w:rPr>
                <w:rFonts w:ascii="Arial" w:hAnsi="Arial" w:cs="Arial" w:eastAsia="Arial"/>
                <w:color w:val="auto"/>
                <w:spacing w:val="0"/>
                <w:position w:val="0"/>
                <w:sz w:val="20"/>
                <w:shd w:fill="auto" w:val="clear"/>
              </w:rPr>
              <w:t xml:space="preserve">3</w:t>
            </w:r>
            <w:r>
              <w:rPr>
                <w:rFonts w:ascii="Arial" w:hAnsi="Arial" w:cs="Arial" w:eastAsia="Arial"/>
                <w:color w:val="auto"/>
                <w:spacing w:val="0"/>
                <w:position w:val="0"/>
                <w:sz w:val="20"/>
                <w:shd w:fill="auto" w:val="clear"/>
              </w:rPr>
              <w:t xml:space="preserve">(d):</w:t>
            </w:r>
          </w:p>
          <w:p>
            <w:pPr>
              <w:spacing w:before="7"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Business Loss</w:t>
            </w:r>
          </w:p>
        </w:tc>
        <w:tc>
          <w:tcPr>
            <w:tcW w:w="2614"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262" w:type="dxa"/>
            <w:tcBorders>
              <w:top w:val="single" w:color="221f1f" w:sz="4"/>
              <w:left w:val="single" w:color="836967" w:sz="0"/>
              <w:bottom w:val="single" w:color="836967" w:sz="0"/>
              <w:right w:val="single" w:color="836967" w:sz="0"/>
            </w:tcBorders>
            <w:shd w:color="000000" w:fill="ffffff" w:val="clear"/>
            <w:tcMar>
              <w:left w:w="10" w:type="dxa"/>
              <w:right w:w="10" w:type="dxa"/>
            </w:tcMar>
            <w:vAlign w:val="top"/>
          </w:tcPr>
          <w:p>
            <w:pPr>
              <w:spacing w:before="42" w:after="0" w:line="240"/>
              <w:ind w:right="0" w:left="407" w:firstLine="0"/>
              <w:jc w:val="left"/>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27,800</w:t>
            </w:r>
          </w:p>
          <w:p>
            <w:pPr>
              <w:spacing w:before="4" w:after="0" w:line="240"/>
              <w:ind w:right="0" w:left="0" w:firstLine="0"/>
              <w:jc w:val="left"/>
              <w:rPr>
                <w:rFonts w:ascii="Arial" w:hAnsi="Arial" w:cs="Arial" w:eastAsia="Arial"/>
                <w:color w:val="auto"/>
                <w:spacing w:val="0"/>
                <w:position w:val="0"/>
                <w:sz w:val="23"/>
                <w:shd w:fill="auto" w:val="clear"/>
              </w:rPr>
            </w:pPr>
          </w:p>
          <w:p>
            <w:pPr>
              <w:spacing w:before="0" w:after="0" w:line="240"/>
              <w:ind w:right="0" w:left="258"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46,200</w:t>
            </w:r>
            <w:r>
              <w:rPr>
                <w:rFonts w:ascii="Arial" w:hAnsi="Arial" w:cs="Arial" w:eastAsia="Arial"/>
                <w:color w:val="auto"/>
                <w:spacing w:val="0"/>
                <w:position w:val="0"/>
                <w:sz w:val="20"/>
                <w:shd w:fill="auto" w:val="clear"/>
              </w:rPr>
              <w:t xml:space="preserve">)</w:t>
            </w:r>
          </w:p>
        </w:tc>
      </w:tr>
      <w:tr>
        <w:trPr>
          <w:trHeight w:val="264" w:hRule="auto"/>
          <w:jc w:val="left"/>
        </w:trPr>
        <w:tc>
          <w:tcPr>
            <w:tcW w:w="3598"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369"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Rental Loss</w:t>
            </w:r>
          </w:p>
        </w:tc>
        <w:tc>
          <w:tcPr>
            <w:tcW w:w="2614"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c>
          <w:tcPr>
            <w:tcW w:w="1262" w:type="dxa"/>
            <w:tcBorders>
              <w:top w:val="single" w:color="836967" w:sz="0"/>
              <w:left w:val="single" w:color="836967" w:sz="0"/>
              <w:bottom w:val="single" w:color="221f1f" w:sz="4"/>
              <w:right w:val="single" w:color="836967" w:sz="0"/>
            </w:tcBorders>
            <w:shd w:color="000000" w:fill="ffffff" w:val="clear"/>
            <w:tcMar>
              <w:left w:w="10" w:type="dxa"/>
              <w:right w:w="10" w:type="dxa"/>
            </w:tcMar>
            <w:vAlign w:val="top"/>
          </w:tcPr>
          <w:p>
            <w:pPr>
              <w:spacing w:before="0" w:after="0" w:line="240"/>
              <w:ind w:right="0" w:left="326" w:firstLine="0"/>
              <w:jc w:val="left"/>
              <w:rPr>
                <w:color w:val="auto"/>
                <w:spacing w:val="0"/>
                <w:position w:val="0"/>
                <w:shd w:fill="auto" w:val="clear"/>
              </w:rPr>
            </w:pP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18,300</w:t>
            </w:r>
            <w:r>
              <w:rPr>
                <w:rFonts w:ascii="Arial" w:hAnsi="Arial" w:cs="Arial" w:eastAsia="Arial"/>
                <w:color w:val="auto"/>
                <w:spacing w:val="0"/>
                <w:position w:val="0"/>
                <w:sz w:val="20"/>
                <w:shd w:fill="auto" w:val="clear"/>
              </w:rPr>
              <w:t xml:space="preserve">)</w:t>
            </w:r>
          </w:p>
        </w:tc>
      </w:tr>
    </w:tbl>
    <w:p>
      <w:pPr>
        <w:tabs>
          <w:tab w:val="left" w:pos="7976" w:leader="none"/>
        </w:tabs>
        <w:spacing w:before="23" w:after="0" w:line="240"/>
        <w:ind w:right="0" w:left="944" w:firstLine="0"/>
        <w:jc w:val="left"/>
        <w:rPr>
          <w:rFonts w:ascii="Arial" w:hAnsi="Arial" w:cs="Arial" w:eastAsia="Arial"/>
          <w:color w:val="auto"/>
          <w:spacing w:val="0"/>
          <w:position w:val="0"/>
          <w:sz w:val="20"/>
          <w:shd w:fill="auto" w:val="clear"/>
        </w:rPr>
      </w:pPr>
      <w:r>
        <w:rPr>
          <w:rFonts w:ascii="Arial" w:hAnsi="Arial" w:cs="Arial" w:eastAsia="Arial"/>
          <w:color w:val="auto"/>
          <w:spacing w:val="4"/>
          <w:position w:val="0"/>
          <w:sz w:val="20"/>
          <w:shd w:fill="auto" w:val="clear"/>
        </w:rPr>
        <w:t xml:space="preserve">Net </w:t>
      </w:r>
      <w:r>
        <w:rPr>
          <w:rFonts w:ascii="Arial" w:hAnsi="Arial" w:cs="Arial" w:eastAsia="Arial"/>
          <w:color w:val="auto"/>
          <w:spacing w:val="5"/>
          <w:position w:val="0"/>
          <w:sz w:val="20"/>
          <w:shd w:fill="auto" w:val="clear"/>
        </w:rPr>
        <w:t xml:space="preserve">Income </w:t>
      </w:r>
      <w:r>
        <w:rPr>
          <w:rFonts w:ascii="Arial" w:hAnsi="Arial" w:cs="Arial" w:eastAsia="Arial"/>
          <w:color w:val="auto"/>
          <w:spacing w:val="4"/>
          <w:position w:val="0"/>
          <w:sz w:val="20"/>
          <w:shd w:fill="auto" w:val="clear"/>
        </w:rPr>
        <w:t xml:space="preserve">For </w:t>
      </w:r>
      <w:r>
        <w:rPr>
          <w:rFonts w:ascii="Arial" w:hAnsi="Arial" w:cs="Arial" w:eastAsia="Arial"/>
          <w:color w:val="auto"/>
          <w:spacing w:val="3"/>
          <w:position w:val="0"/>
          <w:sz w:val="20"/>
          <w:shd w:fill="auto" w:val="clear"/>
        </w:rPr>
        <w:t xml:space="preserve">Tax </w:t>
      </w:r>
      <w:r>
        <w:rPr>
          <w:rFonts w:ascii="Arial" w:hAnsi="Arial" w:cs="Arial" w:eastAsia="Arial"/>
          <w:color w:val="auto"/>
          <w:spacing w:val="6"/>
          <w:position w:val="0"/>
          <w:sz w:val="20"/>
          <w:shd w:fill="auto" w:val="clear"/>
        </w:rPr>
        <w:t xml:space="preserve">Purposes (Division</w:t>
      </w:r>
      <w:r>
        <w:rPr>
          <w:rFonts w:ascii="Arial" w:hAnsi="Arial" w:cs="Arial" w:eastAsia="Arial"/>
          <w:color w:val="auto"/>
          <w:spacing w:val="-15"/>
          <w:position w:val="0"/>
          <w:sz w:val="20"/>
          <w:shd w:fill="auto" w:val="clear"/>
        </w:rPr>
        <w:t xml:space="preserve"> </w:t>
      </w:r>
      <w:r>
        <w:rPr>
          <w:rFonts w:ascii="Arial" w:hAnsi="Arial" w:cs="Arial" w:eastAsia="Arial"/>
          <w:color w:val="auto"/>
          <w:spacing w:val="0"/>
          <w:position w:val="0"/>
          <w:sz w:val="20"/>
          <w:shd w:fill="auto" w:val="clear"/>
        </w:rPr>
        <w:t xml:space="preserve">B</w:t>
      </w:r>
      <w:r>
        <w:rPr>
          <w:rFonts w:ascii="Arial" w:hAnsi="Arial" w:cs="Arial" w:eastAsia="Arial"/>
          <w:color w:val="auto"/>
          <w:spacing w:val="-5"/>
          <w:position w:val="0"/>
          <w:sz w:val="20"/>
          <w:shd w:fill="auto" w:val="clear"/>
        </w:rPr>
        <w:t xml:space="preserve"> </w:t>
      </w:r>
      <w:r>
        <w:rPr>
          <w:rFonts w:ascii="Arial" w:hAnsi="Arial" w:cs="Arial" w:eastAsia="Arial"/>
          <w:color w:val="auto"/>
          <w:spacing w:val="5"/>
          <w:position w:val="0"/>
          <w:sz w:val="20"/>
          <w:shd w:fill="auto" w:val="clear"/>
        </w:rPr>
        <w:t xml:space="preserve">Income)</w:t>
      </w:r>
      <w:r>
        <w:rPr>
          <w:rFonts w:ascii="Arial" w:hAnsi="Arial" w:cs="Arial" w:eastAsia="Arial"/>
          <w:color w:val="auto"/>
          <w:spacing w:val="5"/>
          <w:position w:val="0"/>
          <w:sz w:val="20"/>
          <w:shd w:fill="auto" w:val="clear"/>
        </w:rPr>
        <w:tab/>
      </w:r>
      <w:r>
        <w:rPr>
          <w:rFonts w:ascii="Arial" w:hAnsi="Arial" w:cs="Arial" w:eastAsia="Arial"/>
          <w:color w:val="auto"/>
          <w:spacing w:val="5"/>
          <w:position w:val="0"/>
          <w:sz w:val="20"/>
          <w:shd w:fill="auto" w:val="clear"/>
        </w:rPr>
        <w:t xml:space="preserve">Nil</w:t>
      </w:r>
    </w:p>
    <w:p>
      <w:pPr>
        <w:spacing w:before="156" w:after="0" w:line="247"/>
        <w:ind w:right="736" w:left="740" w:firstLine="0"/>
        <w:jc w:val="both"/>
        <w:rPr>
          <w:rFonts w:ascii="Arial" w:hAnsi="Arial" w:cs="Arial" w:eastAsia="Arial"/>
          <w:color w:val="auto"/>
          <w:spacing w:val="0"/>
          <w:position w:val="0"/>
          <w:sz w:val="20"/>
          <w:shd w:fill="auto" w:val="clear"/>
        </w:rPr>
      </w:pPr>
      <w:r>
        <w:rPr>
          <w:rFonts w:ascii="Arial" w:hAnsi="Arial" w:cs="Arial" w:eastAsia="Arial"/>
          <w:color w:val="auto"/>
          <w:spacing w:val="0"/>
          <w:position w:val="0"/>
          <w:sz w:val="20"/>
          <w:shd w:fill="auto" w:val="clear"/>
        </w:rPr>
        <w:t xml:space="preserve">Mr. Denham would have a carry over business and rental losses in the amount of $</w:t>
      </w:r>
      <w:r>
        <w:rPr>
          <w:rFonts w:ascii="Arial" w:hAnsi="Arial" w:cs="Arial" w:eastAsia="Arial"/>
          <w:color w:val="auto"/>
          <w:spacing w:val="0"/>
          <w:position w:val="0"/>
          <w:sz w:val="20"/>
          <w:shd w:fill="auto" w:val="clear"/>
        </w:rPr>
        <w:t xml:space="preserve">36,700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27,800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46,200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18,300</w:t>
      </w:r>
      <w:r>
        <w:rPr>
          <w:rFonts w:ascii="Arial" w:hAnsi="Arial" w:cs="Arial" w:eastAsia="Arial"/>
          <w:color w:val="auto"/>
          <w:spacing w:val="0"/>
          <w:position w:val="0"/>
          <w:sz w:val="20"/>
          <w:shd w:fill="auto" w:val="clear"/>
        </w:rPr>
        <w:t xml:space="preserve">) and of allowable capital losses in the amount of $</w:t>
      </w:r>
      <w:r>
        <w:rPr>
          <w:rFonts w:ascii="Arial" w:hAnsi="Arial" w:cs="Arial" w:eastAsia="Arial"/>
          <w:color w:val="auto"/>
          <w:spacing w:val="0"/>
          <w:position w:val="0"/>
          <w:sz w:val="20"/>
          <w:shd w:fill="auto" w:val="clear"/>
        </w:rPr>
        <w:t xml:space="preserve">1,600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23,100 </w:t>
      </w:r>
      <w:r>
        <w:rPr>
          <w:rFonts w:ascii="Cambria Math" w:hAnsi="Cambria Math" w:cs="Cambria Math" w:eastAsia="Cambria Math"/>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 </w:t>
      </w:r>
      <w:r>
        <w:rPr>
          <w:rFonts w:ascii="Arial" w:hAnsi="Arial" w:cs="Arial" w:eastAsia="Arial"/>
          <w:color w:val="auto"/>
          <w:spacing w:val="0"/>
          <w:position w:val="0"/>
          <w:sz w:val="20"/>
          <w:shd w:fill="auto" w:val="clear"/>
        </w:rPr>
        <w:t xml:space="preserve">$</w:t>
      </w:r>
      <w:r>
        <w:rPr>
          <w:rFonts w:ascii="Arial" w:hAnsi="Arial" w:cs="Arial" w:eastAsia="Arial"/>
          <w:color w:val="auto"/>
          <w:spacing w:val="0"/>
          <w:position w:val="0"/>
          <w:sz w:val="20"/>
          <w:shd w:fill="auto" w:val="clear"/>
        </w:rPr>
        <w:t xml:space="preserve">24,700</w:t>
      </w:r>
      <w:r>
        <w:rPr>
          <w:rFonts w:ascii="Arial" w:hAnsi="Arial" w:cs="Arial" w:eastAsia="Arial"/>
          <w:color w:val="auto"/>
          <w:spacing w:val="0"/>
          <w:position w:val="0"/>
          <w:sz w:val="20"/>
          <w:shd w:fill="auto" w:val="clear"/>
        </w:rPr>
        <w:t xml:space="preserve">).</w:t>
      </w:r>
    </w:p>
    <w:p>
      <w:pPr>
        <w:bidi w:val="true"/>
        <w:spacing w:before="0" w:after="200" w:line="276"/>
        <w:ind w:right="0" w:left="0" w:firstLine="0"/>
        <w:jc w:val="left"/>
        <w:rPr>
          <w:rFonts w:ascii="Calibri" w:hAnsi="Calibri" w:cs="Calibri" w:eastAsia="Calibri"/>
          <w:color w:val="auto"/>
          <w:spacing w:val="0"/>
          <w:position w:val="0"/>
          <w:sz w:val="2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abstractNum w:abstractNumId="12">
    <w:lvl w:ilvl="0">
      <w:start w:val="1"/>
      <w:numFmt w:val="bullet"/>
      <w:lvlText w:val="•"/>
    </w:lvl>
  </w:abstractNum>
  <w:abstractNum w:abstractNumId="18">
    <w:lvl w:ilvl="0">
      <w:start w:val="1"/>
      <w:numFmt w:val="bullet"/>
      <w:lvlText w:val="•"/>
    </w:lvl>
  </w:abstractNum>
  <w:abstractNum w:abstractNumId="24">
    <w:lvl w:ilvl="0">
      <w:start w:val="1"/>
      <w:numFmt w:val="bullet"/>
      <w:lvlText w:val="•"/>
    </w:lvl>
  </w:abstractNum>
  <w:abstractNum w:abstractNumId="30">
    <w:lvl w:ilvl="0">
      <w:start w:val="1"/>
      <w:numFmt w:val="bullet"/>
      <w:lvlText w:val="•"/>
    </w:lvl>
  </w:abstractNum>
  <w:abstractNum w:abstractNumId="36">
    <w:lvl w:ilvl="0">
      <w:start w:val="1"/>
      <w:numFmt w:val="bullet"/>
      <w:lvlText w:val="•"/>
    </w:lvl>
  </w:abstractNum>
  <w:abstractNum w:abstractNumId="42">
    <w:lvl w:ilvl="0">
      <w:start w:val="1"/>
      <w:numFmt w:val="bullet"/>
      <w:lvlText w:val="•"/>
    </w:lvl>
  </w:abstractNum>
  <w:abstractNum w:abstractNumId="48">
    <w:lvl w:ilvl="0">
      <w:start w:val="1"/>
      <w:numFmt w:val="bullet"/>
      <w:lvlText w:val="•"/>
    </w:lvl>
  </w:abstractNum>
  <w:abstractNum w:abstractNumId="54">
    <w:lvl w:ilvl="0">
      <w:start w:val="1"/>
      <w:numFmt w:val="bullet"/>
      <w:lvlText w:val="•"/>
    </w:lvl>
  </w:abstractNum>
  <w:num w:numId="61">
    <w:abstractNumId w:val="54"/>
  </w:num>
  <w:num w:numId="64">
    <w:abstractNumId w:val="48"/>
  </w:num>
  <w:num w:numId="66">
    <w:abstractNumId w:val="42"/>
  </w:num>
  <w:num w:numId="70">
    <w:abstractNumId w:val="36"/>
  </w:num>
  <w:num w:numId="72">
    <w:abstractNumId w:val="30"/>
  </w:num>
  <w:num w:numId="103">
    <w:abstractNumId w:val="24"/>
  </w:num>
  <w:num w:numId="128">
    <w:abstractNumId w:val="18"/>
  </w:num>
  <w:num w:numId="143">
    <w:abstractNumId w:val="12"/>
  </w:num>
  <w:num w:numId="158">
    <w:abstractNumId w:val="6"/>
  </w:num>
  <w:num w:numId="218">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embeddings/oleObject0.bin" Id="docRId0" Type="http://schemas.openxmlformats.org/officeDocument/2006/relationships/oleObject" /><Relationship Target="media/image0.wmf" Id="docRId1" Type="http://schemas.openxmlformats.org/officeDocument/2006/relationships/image" /><Relationship Target="numbering.xml" Id="docRId2" Type="http://schemas.openxmlformats.org/officeDocument/2006/relationships/numbering" /><Relationship Target="styles.xml" Id="docRId3" Type="http://schemas.openxmlformats.org/officeDocument/2006/relationships/styles" /></Relationships>
</file>